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F5" w:rsidRPr="00B46B4B" w:rsidRDefault="00E63FF5" w:rsidP="00E63FF5">
      <w:pPr>
        <w:pStyle w:val="2"/>
        <w:rPr>
          <w:rFonts w:hint="cs"/>
          <w:rtl/>
        </w:rPr>
      </w:pPr>
      <w:bookmarkStart w:id="0" w:name="_Toc188281760"/>
      <w:bookmarkStart w:id="1" w:name="_Ref188282200"/>
      <w:r w:rsidRPr="00B46B4B">
        <w:rPr>
          <w:rFonts w:hint="cs"/>
          <w:rtl/>
        </w:rPr>
        <w:t>טפת דם כחרדל</w:t>
      </w:r>
      <w:bookmarkEnd w:id="0"/>
      <w:bookmarkEnd w:id="1"/>
    </w:p>
    <w:p w:rsidR="00E63FF5" w:rsidRPr="00EC3D1D" w:rsidRDefault="00E63FF5" w:rsidP="00E63FF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מ</w:t>
      </w:r>
    </w:p>
    <w:p w:rsidR="00E63FF5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 xml:space="preserve">חזור חיי הנישואין נע בין תקופות של טהרה לתקופות של טומאה. על אף שמצב טהור הוא, בפשטות, נעלה על מצב טמא, יש תופעה מפתיעה ביחס ביניהם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טומאה היא לשון עצם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 ואילו טהרה היא לשון של אור וגילוי</w:t>
      </w:r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>. כלומר, על אף שבזמן הטהרה קשר האהבה של האיש והאשה מתגלה ומאיר ביניהם, הרי שדווקא בזמן הטומאה ניתן לחוש את עצם הקשר ביניהם, כשאינו מטושטש על ידי גילויים חיצוניים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כלומר, בזמן זה ניתן לחוש בעצם האהבה שאינה תלויה בדבר, בעוד שבזמני קרבה דווקא גילוי האהבה בביטויים חיצוניים עלול ליצור תחושה שהאהבה תלויה בדבר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 xml:space="preserve">. </w:t>
      </w:r>
    </w:p>
    <w:p w:rsidR="00E63FF5" w:rsidRPr="00B46B4B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 xml:space="preserve">וכך, </w:t>
      </w:r>
      <w:r w:rsidRPr="00B46B4B">
        <w:rPr>
          <w:rFonts w:hint="cs"/>
          <w:b/>
          <w:bCs/>
          <w:sz w:val="28"/>
          <w:szCs w:val="28"/>
          <w:rtl/>
        </w:rPr>
        <w:t>טמא</w:t>
      </w:r>
      <w:r w:rsidRPr="00B46B4B">
        <w:rPr>
          <w:rFonts w:hint="cs"/>
          <w:rtl/>
        </w:rPr>
        <w:t xml:space="preserve"> עולה </w:t>
      </w:r>
      <w:r w:rsidRPr="00B46B4B">
        <w:rPr>
          <w:rFonts w:hint="cs"/>
          <w:b/>
          <w:bCs/>
          <w:sz w:val="28"/>
          <w:szCs w:val="28"/>
          <w:rtl/>
        </w:rPr>
        <w:t>נ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סוד שער הנון, המדרגה של "איני יודע"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>, שניתן לחוש אותה דווקא בזמן של ריחוק בו מתקיים בפשטות (בגשמיות) ה"איני יודע" את בן/בת זוגי</w:t>
      </w:r>
      <w:r w:rsidRPr="00C37DFC">
        <w:rPr>
          <w:rStyle w:val="a6"/>
          <w:rtl/>
        </w:rPr>
        <w:endnoteReference w:id="5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ורמז: בביטוי "סוגה</w:t>
      </w:r>
      <w:r w:rsidRPr="00B46B4B">
        <w:rPr>
          <w:rFonts w:hint="cs"/>
          <w:sz w:val="24"/>
          <w:szCs w:val="24"/>
          <w:rtl/>
        </w:rPr>
        <w:t xml:space="preserve"> </w:t>
      </w:r>
      <w:r w:rsidRPr="00B46B4B">
        <w:rPr>
          <w:rFonts w:hint="cs"/>
          <w:rtl/>
        </w:rPr>
        <w:t>בשושנים", אותו דורשים חז"ל על זמן הריחוק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>, עולה הדילוג הראשון (</w:t>
      </w:r>
      <w:r w:rsidRPr="00B46B4B">
        <w:rPr>
          <w:rFonts w:hint="cs"/>
          <w:b/>
          <w:bCs/>
          <w:sz w:val="28"/>
          <w:szCs w:val="28"/>
          <w:rtl/>
        </w:rPr>
        <w:t>ס</w:t>
      </w:r>
      <w:r w:rsidRPr="00B46B4B">
        <w:rPr>
          <w:rFonts w:hint="cs"/>
          <w:rtl/>
        </w:rPr>
        <w:t>ו</w:t>
      </w:r>
      <w:r w:rsidRPr="00B46B4B">
        <w:rPr>
          <w:rFonts w:hint="cs"/>
          <w:b/>
          <w:bCs/>
          <w:sz w:val="28"/>
          <w:szCs w:val="28"/>
          <w:rtl/>
        </w:rPr>
        <w:t>ג</w:t>
      </w:r>
      <w:r w:rsidRPr="00B46B4B">
        <w:rPr>
          <w:rFonts w:hint="cs"/>
          <w:rtl/>
        </w:rPr>
        <w:t xml:space="preserve">ה </w:t>
      </w:r>
      <w:r w:rsidRPr="00B46B4B">
        <w:rPr>
          <w:rFonts w:hint="cs"/>
          <w:b/>
          <w:bCs/>
          <w:sz w:val="28"/>
          <w:szCs w:val="28"/>
          <w:rtl/>
        </w:rPr>
        <w:t>ב</w:t>
      </w:r>
      <w:r w:rsidRPr="00B46B4B">
        <w:rPr>
          <w:rFonts w:hint="cs"/>
          <w:rtl/>
        </w:rPr>
        <w:t>ש</w:t>
      </w:r>
      <w:r w:rsidRPr="00B46B4B">
        <w:rPr>
          <w:rFonts w:hint="cs"/>
          <w:b/>
          <w:bCs/>
          <w:sz w:val="28"/>
          <w:szCs w:val="28"/>
          <w:rtl/>
        </w:rPr>
        <w:t>ו</w:t>
      </w:r>
      <w:r w:rsidRPr="00B46B4B">
        <w:rPr>
          <w:rFonts w:hint="cs"/>
          <w:rtl/>
        </w:rPr>
        <w:t>ש</w:t>
      </w:r>
      <w:r w:rsidRPr="00B46B4B">
        <w:rPr>
          <w:rFonts w:hint="cs"/>
          <w:b/>
          <w:bCs/>
          <w:sz w:val="28"/>
          <w:szCs w:val="28"/>
          <w:rtl/>
        </w:rPr>
        <w:t>נ</w:t>
      </w:r>
      <w:r w:rsidRPr="00B46B4B">
        <w:rPr>
          <w:rFonts w:hint="cs"/>
          <w:rtl/>
        </w:rPr>
        <w:t>י</w:t>
      </w:r>
      <w:r w:rsidRPr="00B46B4B">
        <w:rPr>
          <w:rFonts w:hint="cs"/>
          <w:b/>
          <w:bCs/>
          <w:sz w:val="28"/>
          <w:szCs w:val="28"/>
          <w:rtl/>
        </w:rPr>
        <w:t>ם</w:t>
      </w:r>
      <w:r w:rsidRPr="00B46B4B">
        <w:rPr>
          <w:rFonts w:hint="cs"/>
          <w:rtl/>
        </w:rPr>
        <w:t xml:space="preserve">) </w:t>
      </w:r>
      <w:r w:rsidRPr="00B46B4B">
        <w:rPr>
          <w:rFonts w:hint="cs"/>
          <w:b/>
          <w:bCs/>
          <w:sz w:val="28"/>
          <w:szCs w:val="28"/>
          <w:rtl/>
        </w:rPr>
        <w:t>איני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יודע</w:t>
      </w:r>
      <w:r w:rsidRPr="00B46B4B">
        <w:rPr>
          <w:rFonts w:hint="cs"/>
          <w:rtl/>
        </w:rPr>
        <w:t xml:space="preserve"> והדילוג השני (ס</w:t>
      </w:r>
      <w:r w:rsidRPr="00B46B4B">
        <w:rPr>
          <w:rFonts w:hint="cs"/>
          <w:b/>
          <w:bCs/>
          <w:sz w:val="28"/>
          <w:szCs w:val="28"/>
          <w:rtl/>
        </w:rPr>
        <w:t>ו</w:t>
      </w:r>
      <w:r w:rsidRPr="00B46B4B">
        <w:rPr>
          <w:rFonts w:hint="cs"/>
          <w:rtl/>
        </w:rPr>
        <w:t>ג</w:t>
      </w:r>
      <w:r w:rsidRPr="00B46B4B">
        <w:rPr>
          <w:rFonts w:hint="cs"/>
          <w:b/>
          <w:bCs/>
          <w:sz w:val="28"/>
          <w:szCs w:val="28"/>
          <w:rtl/>
        </w:rPr>
        <w:t>ה</w:t>
      </w:r>
      <w:r w:rsidRPr="00B46B4B">
        <w:rPr>
          <w:rFonts w:hint="cs"/>
          <w:rtl/>
        </w:rPr>
        <w:t xml:space="preserve"> ב</w:t>
      </w:r>
      <w:r w:rsidRPr="00B46B4B">
        <w:rPr>
          <w:rFonts w:hint="cs"/>
          <w:b/>
          <w:bCs/>
          <w:sz w:val="28"/>
          <w:szCs w:val="28"/>
          <w:rtl/>
        </w:rPr>
        <w:t>ש</w:t>
      </w:r>
      <w:r w:rsidRPr="00B46B4B">
        <w:rPr>
          <w:rFonts w:hint="cs"/>
          <w:rtl/>
        </w:rPr>
        <w:t>ו</w:t>
      </w:r>
      <w:r w:rsidRPr="00B46B4B">
        <w:rPr>
          <w:rFonts w:hint="cs"/>
          <w:b/>
          <w:bCs/>
          <w:sz w:val="28"/>
          <w:szCs w:val="28"/>
          <w:rtl/>
        </w:rPr>
        <w:t>ש</w:t>
      </w:r>
      <w:r w:rsidRPr="00B46B4B">
        <w:rPr>
          <w:rFonts w:hint="cs"/>
          <w:rtl/>
        </w:rPr>
        <w:t>נ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rtl/>
        </w:rPr>
        <w:t xml:space="preserve">ם) עולה </w:t>
      </w:r>
      <w:r w:rsidRPr="00B46B4B">
        <w:rPr>
          <w:rFonts w:hint="cs"/>
          <w:b/>
          <w:bCs/>
          <w:sz w:val="28"/>
          <w:szCs w:val="28"/>
          <w:rtl/>
        </w:rPr>
        <w:t>ראיתי</w:t>
      </w:r>
      <w:r>
        <w:rPr>
          <w:rFonts w:hint="cs"/>
          <w:rtl/>
        </w:rPr>
        <w:t xml:space="preserve"> (ביטוי האשה על ראית דם).</w:t>
      </w:r>
      <w:r w:rsidRPr="00B46B4B">
        <w:rPr>
          <w:rFonts w:hint="cs"/>
          <w:rtl/>
        </w:rPr>
        <w:t xml:space="preserve"> היינו</w:t>
      </w:r>
      <w:r>
        <w:rPr>
          <w:rFonts w:hint="cs"/>
          <w:rtl/>
        </w:rPr>
        <w:t>, ש</w:t>
      </w:r>
      <w:r w:rsidRPr="00B46B4B">
        <w:rPr>
          <w:rFonts w:hint="cs"/>
          <w:rtl/>
        </w:rPr>
        <w:t>דווקא בזמן זה ניתן לזכות ל</w:t>
      </w:r>
      <w:r w:rsidRPr="00B46B4B">
        <w:rPr>
          <w:rFonts w:hint="cs"/>
          <w:b/>
          <w:bCs/>
          <w:sz w:val="28"/>
          <w:szCs w:val="28"/>
          <w:rtl/>
        </w:rPr>
        <w:t>ראיתי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איני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יודע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ראית מה שאינו מודע ואינו מושג בקשר קרוב, אלא דווקא באופן של "מרחוק הוי' נראה לי"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>.</w:t>
      </w:r>
    </w:p>
    <w:p w:rsidR="00E63FF5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 xml:space="preserve">המשחק של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הרה-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ומאה ביחס לאשה בחיי הנישואין רמוז במלה "</w:t>
      </w:r>
      <w:r w:rsidRPr="00B46B4B">
        <w:rPr>
          <w:rFonts w:hint="cs"/>
          <w:b/>
          <w:bCs/>
          <w:sz w:val="28"/>
          <w:szCs w:val="28"/>
          <w:rtl/>
        </w:rPr>
        <w:t>טט</w:t>
      </w:r>
      <w:r w:rsidRPr="00B46B4B">
        <w:rPr>
          <w:rFonts w:hint="cs"/>
          <w:rtl/>
        </w:rPr>
        <w:t>פת"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, כשהאותיות הנותרות הן </w:t>
      </w:r>
      <w:r w:rsidRPr="00B46B4B">
        <w:rPr>
          <w:rFonts w:hint="cs"/>
          <w:b/>
          <w:bCs/>
          <w:sz w:val="28"/>
          <w:szCs w:val="28"/>
          <w:rtl/>
        </w:rPr>
        <w:t>פת</w:t>
      </w:r>
      <w:r w:rsidRPr="00B46B4B">
        <w:rPr>
          <w:rFonts w:hint="cs"/>
          <w:rtl/>
        </w:rPr>
        <w:t>, אחד הדימויים של האשה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 xml:space="preserve"> (סוד "הלחם אשר הוא אוכל"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>). עוד יש לומר בסוד ה"</w:t>
      </w:r>
      <w:r w:rsidRPr="00B46B4B">
        <w:rPr>
          <w:rFonts w:hint="cs"/>
          <w:b/>
          <w:bCs/>
          <w:sz w:val="28"/>
          <w:szCs w:val="28"/>
          <w:rtl/>
        </w:rPr>
        <w:t>טטפת</w:t>
      </w:r>
      <w:r w:rsidRPr="00B46B4B">
        <w:rPr>
          <w:rFonts w:hint="cs"/>
          <w:rtl/>
        </w:rPr>
        <w:t>"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כי ה-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 הראשונה רומזת לזמן הטהרה, ואלו ה"</w:t>
      </w:r>
      <w:r w:rsidRPr="00B46B4B">
        <w:rPr>
          <w:rFonts w:hint="cs"/>
          <w:b/>
          <w:bCs/>
          <w:sz w:val="28"/>
          <w:szCs w:val="28"/>
          <w:rtl/>
        </w:rPr>
        <w:t>טפת</w:t>
      </w:r>
      <w:r w:rsidRPr="00B46B4B">
        <w:rPr>
          <w:rFonts w:hint="cs"/>
          <w:rtl/>
        </w:rPr>
        <w:t>" שאחר כך היינו ה</w:t>
      </w:r>
      <w:r w:rsidRPr="00185DBE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ומאה המתחילה בראית "</w:t>
      </w:r>
      <w:r w:rsidRPr="00B46B4B">
        <w:rPr>
          <w:rFonts w:hint="cs"/>
          <w:b/>
          <w:bCs/>
          <w:sz w:val="28"/>
          <w:szCs w:val="28"/>
          <w:rtl/>
        </w:rPr>
        <w:t>טפת</w:t>
      </w:r>
      <w:r w:rsidRPr="00B46B4B">
        <w:rPr>
          <w:rFonts w:hint="cs"/>
          <w:rtl/>
        </w:rPr>
        <w:t xml:space="preserve"> דם כחרדל"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. </w:t>
      </w:r>
    </w:p>
    <w:p w:rsidR="00E63FF5" w:rsidRPr="00B46B4B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>גם ובעיקר בזמן הטומאה ניתן להגיע לתקשורת עצמית, שעל כן "</w:t>
      </w:r>
      <w:r w:rsidRPr="00B46B4B">
        <w:rPr>
          <w:rFonts w:hint="cs"/>
          <w:b/>
          <w:bCs/>
          <w:sz w:val="28"/>
          <w:szCs w:val="28"/>
          <w:rtl/>
        </w:rPr>
        <w:t>טפת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דם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כחרדל</w:t>
      </w:r>
      <w:r w:rsidRPr="00B46B4B">
        <w:rPr>
          <w:rFonts w:hint="cs"/>
          <w:rtl/>
        </w:rPr>
        <w:t xml:space="preserve">" עולה </w:t>
      </w:r>
      <w:r w:rsidRPr="00B46B4B">
        <w:rPr>
          <w:rFonts w:hint="cs"/>
          <w:b/>
          <w:bCs/>
          <w:sz w:val="28"/>
          <w:szCs w:val="28"/>
          <w:rtl/>
        </w:rPr>
        <w:t>לשון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הקדש</w:t>
      </w:r>
      <w:r w:rsidRPr="00B46B4B">
        <w:rPr>
          <w:rFonts w:hint="cs"/>
          <w:rtl/>
        </w:rPr>
        <w:t>, רמז לדיבור מבורר וקדוש אליו ניתן להגיע דווקא בזמן זה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>, כשמתעלים מביטוי ברית הנישואין בתקשורת של "ברית המעור" לביטויה בתקשורת של "ברית הלשון"</w:t>
      </w:r>
      <w:r w:rsidRPr="00C37DFC">
        <w:rPr>
          <w:rStyle w:val="a6"/>
          <w:rtl/>
        </w:rPr>
        <w:endnoteReference w:id="13"/>
      </w:r>
      <w:r w:rsidRPr="00B46B4B">
        <w:rPr>
          <w:rFonts w:hint="cs"/>
          <w:rtl/>
        </w:rPr>
        <w:t xml:space="preserve"> (ונודע שהטיבול הטוב ביותר ללשון, כדרך שהמלכים אוכלים, הוא חרדל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>). וכן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דם כחרדל</w:t>
      </w:r>
      <w:r>
        <w:rPr>
          <w:rFonts w:hint="cs"/>
          <w:rtl/>
        </w:rPr>
        <w:t xml:space="preserve"> עולה כיחוד השלם של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הדר</w:t>
      </w:r>
      <w:r w:rsidRPr="00B46B4B">
        <w:rPr>
          <w:rFonts w:hint="cs"/>
          <w:rtl/>
        </w:rPr>
        <w:t xml:space="preserve"> ו</w:t>
      </w:r>
      <w:r w:rsidRPr="00B46B4B">
        <w:rPr>
          <w:rFonts w:hint="cs"/>
          <w:b/>
          <w:bCs/>
          <w:sz w:val="28"/>
          <w:szCs w:val="28"/>
          <w:rtl/>
        </w:rPr>
        <w:t>מהיטבאל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>, הזוג המבטא יותר מכל את היחס המתוקן, השלם והאוהב, בין איש לאשתו. ב</w:t>
      </w:r>
      <w:r>
        <w:rPr>
          <w:rFonts w:hint="cs"/>
          <w:rtl/>
        </w:rPr>
        <w:t>זוג זה</w:t>
      </w:r>
      <w:r w:rsidRPr="00B46B4B">
        <w:rPr>
          <w:rFonts w:hint="cs"/>
          <w:rtl/>
        </w:rPr>
        <w:t xml:space="preserve"> חשים כי "הכל מן ה</w:t>
      </w:r>
      <w:r w:rsidRPr="00F91ADB">
        <w:rPr>
          <w:rFonts w:hint="cs"/>
          <w:b/>
          <w:bCs/>
          <w:sz w:val="28"/>
          <w:szCs w:val="28"/>
          <w:rtl/>
        </w:rPr>
        <w:t>אשה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6"/>
      </w:r>
      <w:r w:rsidRPr="00B46B4B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ולעניננו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כל מחזור</w:t>
      </w:r>
      <w:r>
        <w:rPr>
          <w:rFonts w:hint="cs"/>
          <w:rtl/>
        </w:rPr>
        <w:t xml:space="preserve"> הטהרה והטומאה בחיי הנישואין בא </w:t>
      </w:r>
      <w:r w:rsidRPr="00B46B4B">
        <w:rPr>
          <w:rFonts w:hint="cs"/>
          <w:rtl/>
        </w:rPr>
        <w:t>ממנה ותלוי בה בלבד</w:t>
      </w:r>
      <w:r>
        <w:rPr>
          <w:rFonts w:hint="cs"/>
          <w:rtl/>
        </w:rPr>
        <w:t>.</w:t>
      </w:r>
    </w:p>
    <w:p w:rsidR="00E63FF5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 xml:space="preserve">אכן, כשזוכים לקשר עצמי כזה בימי הנדה, הוא בא לידי ביטוי בזיווג </w:t>
      </w:r>
      <w:r>
        <w:rPr>
          <w:rFonts w:hint="cs"/>
          <w:rtl/>
        </w:rPr>
        <w:t xml:space="preserve">של ימי הטהרה בהמשכת הטפה העצמית, </w:t>
      </w:r>
      <w:r w:rsidRPr="00B46B4B">
        <w:rPr>
          <w:rFonts w:hint="cs"/>
          <w:rtl/>
        </w:rPr>
        <w:t>הממשיכה את העצם בדורות ישרים מבורכים</w:t>
      </w:r>
      <w:r>
        <w:rPr>
          <w:rFonts w:hint="cs"/>
          <w:rtl/>
        </w:rPr>
        <w:t xml:space="preserve">. לפי זה, </w:t>
      </w:r>
      <w:r w:rsidRPr="00B46B4B">
        <w:rPr>
          <w:rFonts w:hint="cs"/>
          <w:rtl/>
        </w:rPr>
        <w:t>"טפת</w:t>
      </w:r>
      <w:r>
        <w:rPr>
          <w:rFonts w:hint="cs"/>
          <w:rtl/>
        </w:rPr>
        <w:t>" נמשכת מ"</w:t>
      </w:r>
      <w:r w:rsidRPr="00B46B4B">
        <w:rPr>
          <w:rFonts w:hint="cs"/>
          <w:rtl/>
        </w:rPr>
        <w:t>דם כחרדל"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ורמז: </w:t>
      </w:r>
      <w:r w:rsidRPr="00B46B4B">
        <w:rPr>
          <w:rFonts w:hint="cs"/>
          <w:b/>
          <w:bCs/>
          <w:sz w:val="28"/>
          <w:szCs w:val="28"/>
          <w:rtl/>
        </w:rPr>
        <w:t>טפת</w:t>
      </w:r>
      <w:r>
        <w:rPr>
          <w:rFonts w:hint="cs"/>
          <w:rtl/>
        </w:rPr>
        <w:t xml:space="preserve"> עולה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שפע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טל</w:t>
      </w:r>
      <w:r w:rsidRPr="00B46B4B">
        <w:rPr>
          <w:rFonts w:hint="cs"/>
          <w:rtl/>
        </w:rPr>
        <w:t>, רמז ל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פה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 w:rsidRPr="00B46B4B">
        <w:rPr>
          <w:rFonts w:hint="cs"/>
          <w:rtl/>
        </w:rPr>
        <w:t>בנה</w:t>
      </w:r>
      <w:r>
        <w:rPr>
          <w:rFonts w:hint="cs"/>
          <w:rtl/>
        </w:rPr>
        <w:t xml:space="preserve"> של השפעה עצמית בעת הזיווג</w:t>
      </w:r>
      <w:r w:rsidRPr="00B46B4B">
        <w:rPr>
          <w:rFonts w:hint="cs"/>
          <w:rtl/>
        </w:rPr>
        <w:t xml:space="preserve">. </w:t>
      </w:r>
    </w:p>
    <w:p w:rsidR="00E63FF5" w:rsidRPr="00B46B4B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lastRenderedPageBreak/>
        <w:t>יש לומר כי בזמן הריחוק הכתיב הוא "ט</w:t>
      </w:r>
      <w:r w:rsidRPr="009E0F14">
        <w:rPr>
          <w:rFonts w:hint="cs"/>
          <w:spacing w:val="-14"/>
          <w:rtl/>
        </w:rPr>
        <w:t>ֹ</w:t>
      </w:r>
      <w:r w:rsidRPr="00B46B4B">
        <w:rPr>
          <w:rFonts w:hint="cs"/>
          <w:rtl/>
        </w:rPr>
        <w:t>טפ</w:t>
      </w:r>
      <w:r w:rsidRPr="009E0F14">
        <w:rPr>
          <w:rFonts w:hint="cs"/>
          <w:spacing w:val="-14"/>
          <w:rtl/>
        </w:rPr>
        <w:t>ֹ</w:t>
      </w:r>
      <w:r w:rsidRPr="00B46B4B">
        <w:rPr>
          <w:rFonts w:hint="cs"/>
          <w:rtl/>
        </w:rPr>
        <w:t>ת"</w:t>
      </w:r>
      <w:bookmarkStart w:id="2" w:name="_Ref188250189"/>
      <w:r w:rsidRPr="00C37DFC">
        <w:rPr>
          <w:rStyle w:val="a6"/>
          <w:rtl/>
        </w:rPr>
        <w:endnoteReference w:id="17"/>
      </w:r>
      <w:bookmarkEnd w:id="2"/>
      <w:r w:rsidRPr="00B46B4B">
        <w:rPr>
          <w:rFonts w:hint="cs"/>
          <w:rtl/>
        </w:rPr>
        <w:t>, ואילו בזמן הקרבה הכתיב הוא "טוטפ</w:t>
      </w:r>
      <w:r w:rsidRPr="009E0F14">
        <w:rPr>
          <w:rFonts w:hint="cs"/>
          <w:spacing w:val="-14"/>
          <w:rtl/>
        </w:rPr>
        <w:t>ֹ</w:t>
      </w:r>
      <w:r w:rsidRPr="00B46B4B">
        <w:rPr>
          <w:rFonts w:hint="cs"/>
          <w:rtl/>
        </w:rPr>
        <w:t>ת"</w:t>
      </w:r>
      <w:r w:rsidRPr="00C37DFC">
        <w:rPr>
          <w:rStyle w:val="a6"/>
          <w:rtl/>
        </w:rPr>
        <w:endnoteReference w:id="18"/>
      </w:r>
      <w:r>
        <w:rPr>
          <w:rFonts w:hint="cs"/>
          <w:rtl/>
        </w:rPr>
        <w:t xml:space="preserve">, </w:t>
      </w:r>
      <w:r w:rsidRPr="00B46B4B">
        <w:rPr>
          <w:rFonts w:hint="cs"/>
          <w:rtl/>
        </w:rPr>
        <w:t>כאשר ה-</w:t>
      </w:r>
      <w:r w:rsidRPr="00B46B4B">
        <w:rPr>
          <w:rFonts w:hint="cs"/>
          <w:b/>
          <w:bCs/>
          <w:sz w:val="28"/>
          <w:szCs w:val="28"/>
          <w:rtl/>
        </w:rPr>
        <w:t>ו</w:t>
      </w:r>
      <w:r w:rsidRPr="00B46B4B">
        <w:rPr>
          <w:rFonts w:hint="cs"/>
          <w:rtl/>
        </w:rPr>
        <w:t xml:space="preserve"> הנוספת מעידה על ההמשכה מהאיש לאשה</w:t>
      </w:r>
      <w:r>
        <w:rPr>
          <w:rFonts w:hint="cs"/>
          <w:rtl/>
        </w:rPr>
        <w:t>. לעומת זאת,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בזמן הריחוק מופנית עיקר המשכת ה"</w:t>
      </w:r>
      <w:r w:rsidRPr="00B04702">
        <w:rPr>
          <w:rStyle w:val="a3"/>
          <w:rFonts w:hint="cs"/>
          <w:rtl/>
        </w:rPr>
        <w:t>טטפת</w:t>
      </w:r>
      <w:r>
        <w:rPr>
          <w:rFonts w:hint="cs"/>
          <w:rtl/>
        </w:rPr>
        <w:t>" אל הילדים,</w:t>
      </w:r>
      <w:r w:rsidRPr="00B46B4B">
        <w:rPr>
          <w:rFonts w:hint="cs"/>
          <w:rtl/>
        </w:rPr>
        <w:t xml:space="preserve"> ה</w:t>
      </w:r>
      <w:r w:rsidRPr="00B04702">
        <w:rPr>
          <w:rStyle w:val="a3"/>
          <w:rFonts w:hint="cs"/>
          <w:rtl/>
        </w:rPr>
        <w:t>טף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המשכה זאת מתבטאת גם </w:t>
      </w:r>
      <w:r w:rsidRPr="00B46B4B">
        <w:rPr>
          <w:rFonts w:hint="cs"/>
          <w:rtl/>
        </w:rPr>
        <w:t>בדאגה ל"לחם לפי הטף"</w:t>
      </w:r>
      <w:r w:rsidRPr="00C37DFC">
        <w:rPr>
          <w:rStyle w:val="a6"/>
          <w:rtl/>
        </w:rPr>
        <w:endnoteReference w:id="19"/>
      </w:r>
      <w:r w:rsidRPr="00B46B4B">
        <w:rPr>
          <w:rFonts w:hint="cs"/>
          <w:rtl/>
        </w:rPr>
        <w:t>, כאשר האיש פנוי לעסוק בהבאת טרף לביתו והאשה פנויה לקום בעוד לילה ולתת טרף לביתה, והן בדאגה להטפה-חינוך לילדים, כששני ההורים פנויים יותר זה מזו להטיף תורה לילדיהם.</w:t>
      </w:r>
    </w:p>
    <w:p w:rsidR="00E63FF5" w:rsidRPr="00B46B4B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>ה"טטפת" הן התפילין בתורה, ומורנו הבעל שם טוב משוה את אהבת האשה לאהבת התפילין</w:t>
      </w:r>
      <w:r w:rsidRPr="00C37DFC">
        <w:rPr>
          <w:rStyle w:val="a6"/>
          <w:rtl/>
        </w:rPr>
        <w:endnoteReference w:id="20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הפירוש הפשוט של "טטפת" הוא תכשיט</w:t>
      </w:r>
      <w:r w:rsidRPr="00C37DFC">
        <w:rPr>
          <w:rStyle w:val="a6"/>
          <w:rtl/>
        </w:rPr>
        <w:endnoteReference w:id="21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את האשה יש לעטר בתכשיטים המתאימים לה</w:t>
      </w:r>
      <w:r w:rsidRPr="00C37DFC">
        <w:rPr>
          <w:rStyle w:val="a6"/>
          <w:rtl/>
        </w:rPr>
        <w:endnoteReference w:id="22"/>
      </w:r>
      <w:r w:rsidRPr="00B46B4B">
        <w:rPr>
          <w:rFonts w:hint="cs"/>
          <w:rtl/>
        </w:rPr>
        <w:t>, בעוד התכשיט של הגבר הוא התפילין-של-ראש שלו</w:t>
      </w:r>
      <w:r w:rsidRPr="00C37DFC">
        <w:rPr>
          <w:rStyle w:val="a6"/>
          <w:rtl/>
        </w:rPr>
        <w:endnoteReference w:id="23"/>
      </w:r>
      <w:r w:rsidRPr="00B46B4B">
        <w:rPr>
          <w:rFonts w:hint="cs"/>
          <w:rtl/>
        </w:rPr>
        <w:t>, ה"טטפת בין עיניך"</w:t>
      </w:r>
      <w:r w:rsidRPr="00E04AE8">
        <w:rPr>
          <w:rStyle w:val="a6"/>
          <w:rtl/>
        </w:rPr>
        <w:fldChar w:fldCharType="begin"/>
      </w:r>
      <w:r w:rsidRPr="00E04AE8">
        <w:rPr>
          <w:rStyle w:val="a6"/>
          <w:rtl/>
        </w:rPr>
        <w:instrText xml:space="preserve"> </w:instrText>
      </w:r>
      <w:r w:rsidRPr="00E04AE8">
        <w:rPr>
          <w:rStyle w:val="a6"/>
          <w:rFonts w:hint="cs"/>
        </w:rPr>
        <w:instrText>NOTEREF</w:instrText>
      </w:r>
      <w:r w:rsidRPr="00E04AE8">
        <w:rPr>
          <w:rStyle w:val="a6"/>
          <w:rFonts w:hint="cs"/>
          <w:rtl/>
        </w:rPr>
        <w:instrText xml:space="preserve"> _</w:instrText>
      </w:r>
      <w:r w:rsidRPr="00E04AE8">
        <w:rPr>
          <w:rStyle w:val="a6"/>
          <w:rFonts w:hint="cs"/>
        </w:rPr>
        <w:instrText>Ref188250189 \h</w:instrText>
      </w:r>
      <w:r w:rsidRPr="00E04AE8">
        <w:rPr>
          <w:rStyle w:val="a6"/>
          <w:rtl/>
        </w:rPr>
        <w:instrText xml:space="preserve"> </w:instrText>
      </w:r>
      <w:r w:rsidRPr="00E04AE8">
        <w:rPr>
          <w:rStyle w:val="a6"/>
        </w:rPr>
      </w:r>
      <w:r>
        <w:rPr>
          <w:rStyle w:val="a6"/>
          <w:rtl/>
        </w:rPr>
        <w:instrText xml:space="preserve"> \* </w:instrText>
      </w:r>
      <w:r>
        <w:rPr>
          <w:rStyle w:val="a6"/>
        </w:rPr>
        <w:instrText>MERGEFORMAT</w:instrText>
      </w:r>
      <w:r>
        <w:rPr>
          <w:rStyle w:val="a6"/>
          <w:rtl/>
        </w:rPr>
        <w:instrText xml:space="preserve"> </w:instrText>
      </w:r>
      <w:r w:rsidRPr="00E04AE8">
        <w:rPr>
          <w:rStyle w:val="a6"/>
          <w:rtl/>
        </w:rPr>
        <w:fldChar w:fldCharType="separate"/>
      </w:r>
      <w:r>
        <w:rPr>
          <w:rStyle w:val="a6"/>
          <w:rtl/>
        </w:rPr>
        <w:t>יז</w:t>
      </w:r>
      <w:r w:rsidRPr="00E04AE8">
        <w:rPr>
          <w:rStyle w:val="a6"/>
          <w:rtl/>
        </w:rPr>
        <w:fldChar w:fldCharType="end"/>
      </w:r>
      <w:r w:rsidRPr="00B46B4B">
        <w:rPr>
          <w:rFonts w:hint="cs"/>
          <w:rtl/>
        </w:rPr>
        <w:t>. מכל זה ניתן ללמוד כי הנחת תפילין כשרות ומהודרות היא סגולה לשמירה על טהרת המשפחה, ללא כל מכשול חלילה, ולקיום מצוות "פרו ורבו"</w:t>
      </w:r>
      <w:r w:rsidRPr="00C37DFC">
        <w:rPr>
          <w:rStyle w:val="a6"/>
          <w:rtl/>
        </w:rPr>
        <w:endnoteReference w:id="24"/>
      </w:r>
      <w:r w:rsidRPr="00B46B4B">
        <w:rPr>
          <w:rFonts w:hint="cs"/>
          <w:rtl/>
        </w:rPr>
        <w:t xml:space="preserve"> בגילוי כח העצ</w:t>
      </w:r>
      <w:r>
        <w:rPr>
          <w:rFonts w:hint="cs"/>
          <w:rtl/>
        </w:rPr>
        <w:t xml:space="preserve">ם של בני הזוג, כח האין סוף ממש. </w:t>
      </w:r>
      <w:r w:rsidRPr="00B46B4B">
        <w:rPr>
          <w:rFonts w:hint="cs"/>
          <w:rtl/>
        </w:rPr>
        <w:t>וכן, בזמן הנדה, יש בהמשכת המוחין של התפילין סגולה להצלחה</w:t>
      </w:r>
      <w:r>
        <w:rPr>
          <w:rFonts w:hint="cs"/>
          <w:rtl/>
        </w:rPr>
        <w:t xml:space="preserve"> בחינוך הטף וסגולת עשירות ויקר (</w:t>
      </w:r>
      <w:r w:rsidRPr="00B46B4B">
        <w:rPr>
          <w:rFonts w:hint="cs"/>
          <w:rtl/>
        </w:rPr>
        <w:t>שהרי "'ויקר' אלו תפילין שבראש"</w:t>
      </w:r>
      <w:r w:rsidRPr="00C37DFC">
        <w:rPr>
          <w:rStyle w:val="a6"/>
          <w:rtl/>
        </w:rPr>
        <w:endnoteReference w:id="25"/>
      </w:r>
      <w:r>
        <w:rPr>
          <w:rFonts w:hint="cs"/>
          <w:rtl/>
        </w:rPr>
        <w:t>)</w:t>
      </w:r>
      <w:r w:rsidRPr="00B46B4B">
        <w:rPr>
          <w:rFonts w:hint="cs"/>
          <w:rtl/>
        </w:rPr>
        <w:t xml:space="preserve"> כדי להמצי</w:t>
      </w:r>
      <w:r>
        <w:rPr>
          <w:rFonts w:hint="cs"/>
          <w:rtl/>
        </w:rPr>
        <w:t>א "לחם לפי הטף" לכל ישראל</w:t>
      </w:r>
      <w:r w:rsidRPr="00B46B4B">
        <w:rPr>
          <w:rFonts w:hint="cs"/>
          <w:rtl/>
        </w:rPr>
        <w:t>.</w:t>
      </w:r>
    </w:p>
    <w:p w:rsidR="00E63FF5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 xml:space="preserve">ועוד רמזים בסוד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ומאה-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הרה: </w:t>
      </w:r>
      <w:r w:rsidRPr="00B46B4B">
        <w:rPr>
          <w:rFonts w:hint="cs"/>
          <w:b/>
          <w:bCs/>
          <w:sz w:val="28"/>
          <w:szCs w:val="28"/>
          <w:rtl/>
        </w:rPr>
        <w:t>טט</w:t>
      </w:r>
      <w:r w:rsidRPr="00B46B4B">
        <w:rPr>
          <w:rFonts w:hint="cs"/>
          <w:rtl/>
        </w:rPr>
        <w:t xml:space="preserve"> רומז גם לסוד אותיות </w:t>
      </w:r>
      <w:r w:rsidRPr="00B46B4B">
        <w:rPr>
          <w:rFonts w:hint="cs"/>
          <w:b/>
          <w:bCs/>
          <w:sz w:val="28"/>
          <w:szCs w:val="28"/>
          <w:rtl/>
        </w:rPr>
        <w:t>טט</w:t>
      </w:r>
      <w:r w:rsidRPr="00B46B4B">
        <w:rPr>
          <w:rFonts w:hint="cs"/>
          <w:rtl/>
        </w:rPr>
        <w:t xml:space="preserve"> בשם הקדוש </w:t>
      </w:r>
      <w:r w:rsidRPr="00B46B4B">
        <w:rPr>
          <w:rFonts w:hint="cs"/>
          <w:b/>
          <w:bCs/>
          <w:sz w:val="28"/>
          <w:szCs w:val="28"/>
          <w:rtl/>
        </w:rPr>
        <w:t>מטטרון</w:t>
      </w:r>
      <w:r w:rsidRPr="00B46B4B">
        <w:rPr>
          <w:rFonts w:hint="cs"/>
          <w:rtl/>
        </w:rPr>
        <w:t xml:space="preserve"> (העולה </w:t>
      </w:r>
      <w:r w:rsidRPr="00B46B4B">
        <w:rPr>
          <w:rFonts w:hint="cs"/>
          <w:b/>
          <w:bCs/>
          <w:sz w:val="28"/>
          <w:szCs w:val="28"/>
          <w:rtl/>
        </w:rPr>
        <w:t>שדי</w:t>
      </w:r>
      <w:r w:rsidRPr="00B46B4B">
        <w:rPr>
          <w:rFonts w:hint="cs"/>
          <w:rtl/>
        </w:rPr>
        <w:t>, שם הברית בין איש ואשה</w:t>
      </w:r>
      <w:r w:rsidRPr="00C37DFC">
        <w:rPr>
          <w:rStyle w:val="a6"/>
          <w:rtl/>
        </w:rPr>
        <w:endnoteReference w:id="26"/>
      </w:r>
      <w:r w:rsidRPr="00B46B4B">
        <w:rPr>
          <w:rFonts w:hint="cs"/>
          <w:rtl/>
        </w:rPr>
        <w:t xml:space="preserve">). שאר אותיות </w:t>
      </w:r>
      <w:r w:rsidRPr="00B46B4B">
        <w:rPr>
          <w:rFonts w:hint="cs"/>
          <w:b/>
          <w:bCs/>
          <w:sz w:val="28"/>
          <w:szCs w:val="28"/>
          <w:rtl/>
        </w:rPr>
        <w:t>מטטרון</w:t>
      </w:r>
      <w:r w:rsidRPr="00B46B4B">
        <w:rPr>
          <w:rFonts w:hint="cs"/>
          <w:rtl/>
        </w:rPr>
        <w:t xml:space="preserve"> הן </w:t>
      </w:r>
      <w:r w:rsidRPr="00B46B4B">
        <w:rPr>
          <w:rFonts w:hint="cs"/>
          <w:b/>
          <w:bCs/>
          <w:sz w:val="28"/>
          <w:szCs w:val="28"/>
          <w:rtl/>
        </w:rPr>
        <w:t>רמון</w:t>
      </w:r>
      <w:r w:rsidRPr="00C37DFC">
        <w:rPr>
          <w:rStyle w:val="a6"/>
          <w:rtl/>
        </w:rPr>
        <w:endnoteReference w:id="27"/>
      </w:r>
      <w:r w:rsidRPr="00B46B4B">
        <w:rPr>
          <w:rFonts w:hint="cs"/>
          <w:rtl/>
        </w:rPr>
        <w:t>, שעסיסו האדום רומז גם הוא לדם הנדה. הרמון מכוון כנגד ספירת ההוד בשבעת המינים בהן נשתבחה ארץ ישראל</w:t>
      </w:r>
      <w:r w:rsidRPr="00C37DFC">
        <w:rPr>
          <w:rStyle w:val="a6"/>
          <w:rtl/>
        </w:rPr>
        <w:endnoteReference w:id="28"/>
      </w:r>
      <w:r w:rsidRPr="00B46B4B">
        <w:rPr>
          <w:rFonts w:hint="cs"/>
          <w:rtl/>
        </w:rPr>
        <w:t>, ו</w:t>
      </w:r>
      <w:r>
        <w:rPr>
          <w:rFonts w:hint="cs"/>
          <w:rtl/>
        </w:rPr>
        <w:t xml:space="preserve">כך גם כל סוד </w:t>
      </w:r>
      <w:r w:rsidRPr="00B46B4B">
        <w:rPr>
          <w:rFonts w:hint="cs"/>
          <w:rtl/>
        </w:rPr>
        <w:t xml:space="preserve">מחזור </w:t>
      </w:r>
      <w:r>
        <w:rPr>
          <w:rFonts w:hint="cs"/>
          <w:rtl/>
        </w:rPr>
        <w:t xml:space="preserve">הנדה וטהרתה שייך לספירת ההוד. שהרי, מחזור זה נע </w:t>
      </w:r>
      <w:r w:rsidRPr="00B46B4B">
        <w:rPr>
          <w:rFonts w:hint="cs"/>
          <w:rtl/>
        </w:rPr>
        <w:t>בין היפוך ה</w:t>
      </w:r>
      <w:r w:rsidRPr="00B46B4B">
        <w:rPr>
          <w:rFonts w:hint="cs"/>
          <w:b/>
          <w:bCs/>
          <w:sz w:val="28"/>
          <w:szCs w:val="28"/>
          <w:rtl/>
        </w:rPr>
        <w:t>הוד</w:t>
      </w:r>
      <w:r w:rsidRPr="00B46B4B">
        <w:rPr>
          <w:rFonts w:hint="cs"/>
          <w:rtl/>
        </w:rPr>
        <w:t xml:space="preserve"> ("הודי נהפך"</w:t>
      </w:r>
      <w:r w:rsidRPr="00C37DFC">
        <w:rPr>
          <w:rStyle w:val="a6"/>
          <w:rtl/>
        </w:rPr>
        <w:endnoteReference w:id="29"/>
      </w:r>
      <w:r w:rsidRPr="00B46B4B">
        <w:rPr>
          <w:rFonts w:hint="cs"/>
          <w:rtl/>
        </w:rPr>
        <w:t xml:space="preserve">) ל"כל היום </w:t>
      </w:r>
      <w:r w:rsidRPr="00B46B4B">
        <w:rPr>
          <w:rFonts w:hint="cs"/>
          <w:b/>
          <w:bCs/>
          <w:sz w:val="28"/>
          <w:szCs w:val="28"/>
          <w:rtl/>
        </w:rPr>
        <w:t>דוה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30"/>
      </w:r>
      <w:r w:rsidRPr="00B46B4B">
        <w:rPr>
          <w:rFonts w:hint="cs"/>
          <w:rtl/>
        </w:rPr>
        <w:t xml:space="preserve"> בזמן "נדת דותה"</w:t>
      </w:r>
      <w:r w:rsidRPr="00C37DFC">
        <w:rPr>
          <w:rStyle w:val="a6"/>
          <w:rtl/>
        </w:rPr>
        <w:endnoteReference w:id="31"/>
      </w:r>
      <w:r>
        <w:rPr>
          <w:rFonts w:hint="cs"/>
          <w:rtl/>
        </w:rPr>
        <w:t xml:space="preserve"> לבין </w:t>
      </w:r>
      <w:r w:rsidRPr="00B46B4B">
        <w:rPr>
          <w:rFonts w:hint="cs"/>
          <w:rtl/>
        </w:rPr>
        <w:t>חזרתו ל"הוד מלכות"</w:t>
      </w:r>
      <w:r w:rsidRPr="00C37DFC">
        <w:rPr>
          <w:rStyle w:val="a6"/>
          <w:rtl/>
        </w:rPr>
        <w:endnoteReference w:id="32"/>
      </w:r>
      <w:r w:rsidRPr="00B46B4B">
        <w:rPr>
          <w:rFonts w:hint="cs"/>
          <w:rtl/>
        </w:rPr>
        <w:t xml:space="preserve"> בזמן הטהרה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ה</w:t>
      </w:r>
      <w:r w:rsidRPr="00B46B4B">
        <w:rPr>
          <w:rFonts w:hint="cs"/>
          <w:b/>
          <w:bCs/>
          <w:sz w:val="28"/>
          <w:szCs w:val="28"/>
          <w:rtl/>
        </w:rPr>
        <w:t>אשה</w:t>
      </w:r>
      <w:r w:rsidRPr="00B46B4B">
        <w:rPr>
          <w:rFonts w:hint="cs"/>
          <w:rtl/>
        </w:rPr>
        <w:t>, "איהי בהוד"</w:t>
      </w:r>
      <w:r w:rsidRPr="00C37DFC">
        <w:rPr>
          <w:rStyle w:val="a6"/>
          <w:rtl/>
        </w:rPr>
        <w:endnoteReference w:id="33"/>
      </w:r>
      <w:r w:rsidRPr="00B46B4B">
        <w:rPr>
          <w:rFonts w:hint="cs"/>
          <w:rtl/>
        </w:rPr>
        <w:t xml:space="preserve">, מזדהה עם עצם חוית ההודיה הפותחת את היום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</w:t>
      </w:r>
      <w:r w:rsidRPr="00B46B4B">
        <w:rPr>
          <w:rFonts w:hint="cs"/>
          <w:b/>
          <w:bCs/>
          <w:sz w:val="28"/>
          <w:szCs w:val="28"/>
          <w:rtl/>
        </w:rPr>
        <w:t>מודה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אני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לפניך</w:t>
      </w:r>
      <w:r w:rsidRPr="00B46B4B">
        <w:rPr>
          <w:rFonts w:hint="cs"/>
          <w:rtl/>
        </w:rPr>
        <w:t xml:space="preserve">" </w:t>
      </w:r>
      <w:r>
        <w:rPr>
          <w:rFonts w:hint="cs"/>
          <w:rtl/>
        </w:rPr>
        <w:t>(</w:t>
      </w:r>
      <w:r w:rsidRPr="00B46B4B">
        <w:rPr>
          <w:rFonts w:hint="cs"/>
          <w:rtl/>
        </w:rPr>
        <w:t xml:space="preserve">והקפדה על פתיחת היום כך, ועל נטילת-טהרת הידים מטומאת השינה מיד אחרי אמירת "מודה אני", סמוך למטה, היא סגולה לשמירה על וסת תקין). </w:t>
      </w:r>
    </w:p>
    <w:p w:rsidR="00E63FF5" w:rsidRPr="00B46B4B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>מטטרון הוא "שרו של עולם"</w:t>
      </w:r>
      <w:r w:rsidRPr="00C37DFC">
        <w:rPr>
          <w:rStyle w:val="a6"/>
          <w:rtl/>
        </w:rPr>
        <w:endnoteReference w:id="34"/>
      </w:r>
      <w:r w:rsidRPr="00B46B4B">
        <w:rPr>
          <w:rFonts w:hint="cs"/>
          <w:rtl/>
        </w:rPr>
        <w:t xml:space="preserve"> האומר "נער הייתי וגם זקנתי"</w:t>
      </w:r>
      <w:r w:rsidRPr="00C37DFC">
        <w:rPr>
          <w:rStyle w:val="a6"/>
          <w:rtl/>
        </w:rPr>
        <w:endnoteReference w:id="35"/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"נער הייתי" בזמן הטהרה "וגם זקנתי" בזמן הנדה (הזמן הראוי לעסוק בתורה ולקנות חכמה</w:t>
      </w:r>
      <w:r w:rsidRPr="00C37DFC">
        <w:rPr>
          <w:rStyle w:val="a6"/>
          <w:rtl/>
        </w:rPr>
        <w:endnoteReference w:id="36"/>
      </w:r>
      <w:r w:rsidRPr="00B46B4B">
        <w:rPr>
          <w:rFonts w:hint="cs"/>
          <w:rtl/>
        </w:rPr>
        <w:t>)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חטאת </w:t>
      </w:r>
      <w:r w:rsidRPr="00B04702">
        <w:rPr>
          <w:rStyle w:val="a3"/>
          <w:rFonts w:hint="cs"/>
          <w:rtl/>
        </w:rPr>
        <w:t>נעורים</w:t>
      </w:r>
      <w:r w:rsidRPr="00B46B4B">
        <w:rPr>
          <w:rFonts w:hint="cs"/>
          <w:rtl/>
        </w:rPr>
        <w:t xml:space="preserve"> (</w:t>
      </w:r>
      <w:r w:rsidRPr="00B46B4B">
        <w:rPr>
          <w:rFonts w:hint="cs"/>
          <w:b/>
          <w:bCs/>
          <w:sz w:val="28"/>
          <w:szCs w:val="28"/>
          <w:rtl/>
        </w:rPr>
        <w:t>ח</w:t>
      </w:r>
      <w:r w:rsidRPr="00B46B4B">
        <w:rPr>
          <w:rFonts w:hint="cs"/>
          <w:rtl/>
        </w:rPr>
        <w:t>"</w:t>
      </w:r>
      <w:r w:rsidRPr="00B46B4B">
        <w:rPr>
          <w:rFonts w:hint="cs"/>
          <w:b/>
          <w:bCs/>
          <w:sz w:val="28"/>
          <w:szCs w:val="28"/>
          <w:rtl/>
        </w:rPr>
        <w:t>ן</w:t>
      </w:r>
      <w:r w:rsidRPr="00B46B4B">
        <w:rPr>
          <w:rFonts w:hint="cs"/>
          <w:rtl/>
        </w:rPr>
        <w:t>) בזמן של "</w:t>
      </w:r>
      <w:r w:rsidRPr="00B04702">
        <w:rPr>
          <w:rStyle w:val="a3"/>
          <w:rFonts w:hint="cs"/>
          <w:rtl/>
        </w:rPr>
        <w:t>נער</w:t>
      </w:r>
      <w:r w:rsidRPr="00B46B4B">
        <w:rPr>
          <w:rFonts w:hint="cs"/>
          <w:rtl/>
        </w:rPr>
        <w:t xml:space="preserve"> הייתי" עלולים לגרום ל'הזדקנות'</w:t>
      </w:r>
      <w:r>
        <w:rPr>
          <w:rFonts w:hint="cs"/>
          <w:rtl/>
        </w:rPr>
        <w:t xml:space="preserve"> בטרם זמנה, בשיבוש הוסת התקין. </w:t>
      </w:r>
      <w:r w:rsidRPr="00B46B4B">
        <w:rPr>
          <w:rFonts w:hint="cs"/>
          <w:rtl/>
        </w:rPr>
        <w:t xml:space="preserve">על כך נאמר "כל המסתכל בערוה קשתו </w:t>
      </w:r>
      <w:r w:rsidRPr="00B04702">
        <w:rPr>
          <w:rStyle w:val="a3"/>
          <w:rFonts w:hint="cs"/>
          <w:rtl/>
        </w:rPr>
        <w:t>ננערת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37"/>
      </w:r>
      <w:r w:rsidRPr="00B46B4B">
        <w:rPr>
          <w:rFonts w:hint="cs"/>
          <w:rtl/>
        </w:rPr>
        <w:t>, ש"אינו מוליד"</w:t>
      </w:r>
      <w:r w:rsidRPr="00C37DFC">
        <w:rPr>
          <w:rStyle w:val="a6"/>
          <w:rtl/>
        </w:rPr>
        <w:endnoteReference w:id="38"/>
      </w:r>
      <w:r w:rsidRPr="00B46B4B">
        <w:rPr>
          <w:rFonts w:hint="cs"/>
          <w:rtl/>
        </w:rPr>
        <w:t xml:space="preserve"> ר"ל, משום ש</w:t>
      </w:r>
      <w:r>
        <w:rPr>
          <w:rFonts w:hint="cs"/>
          <w:rtl/>
        </w:rPr>
        <w:t xml:space="preserve">הוא מקדים להגיע לזמן הנדה-הזקנה. </w:t>
      </w:r>
      <w:r w:rsidRPr="00B46B4B">
        <w:rPr>
          <w:rFonts w:hint="cs"/>
          <w:rtl/>
        </w:rPr>
        <w:t>התיקון לכך הוא עיסוק משותף של בני הזוג ב</w:t>
      </w:r>
      <w:r w:rsidRPr="00B46B4B">
        <w:rPr>
          <w:rFonts w:hint="cs"/>
          <w:b/>
          <w:bCs/>
          <w:sz w:val="28"/>
          <w:szCs w:val="28"/>
          <w:rtl/>
        </w:rPr>
        <w:t>ח</w:t>
      </w:r>
      <w:r w:rsidRPr="00B46B4B">
        <w:rPr>
          <w:rFonts w:hint="cs"/>
          <w:rtl/>
        </w:rPr>
        <w:t xml:space="preserve">כמה </w:t>
      </w:r>
      <w:r w:rsidRPr="00B46B4B">
        <w:rPr>
          <w:rFonts w:hint="cs"/>
          <w:b/>
          <w:bCs/>
          <w:sz w:val="28"/>
          <w:szCs w:val="28"/>
          <w:rtl/>
        </w:rPr>
        <w:t>נ</w:t>
      </w:r>
      <w:r w:rsidRPr="00B46B4B">
        <w:rPr>
          <w:rFonts w:hint="cs"/>
          <w:rtl/>
        </w:rPr>
        <w:t>סתרה</w:t>
      </w:r>
      <w:r w:rsidRPr="00C37DFC">
        <w:rPr>
          <w:rStyle w:val="a6"/>
          <w:rtl/>
        </w:rPr>
        <w:endnoteReference w:id="39"/>
      </w:r>
      <w:r w:rsidRPr="00B46B4B">
        <w:rPr>
          <w:rFonts w:hint="cs"/>
          <w:rtl/>
        </w:rPr>
        <w:t xml:space="preserve"> (תורת ה</w:t>
      </w:r>
      <w:r w:rsidRPr="00B46B4B">
        <w:rPr>
          <w:rFonts w:hint="cs"/>
          <w:b/>
          <w:bCs/>
          <w:sz w:val="28"/>
          <w:szCs w:val="28"/>
          <w:rtl/>
        </w:rPr>
        <w:t>ח</w:t>
      </w:r>
      <w:r w:rsidRPr="00B46B4B">
        <w:rPr>
          <w:rFonts w:hint="cs"/>
          <w:rtl/>
        </w:rPr>
        <w:t>"</w:t>
      </w:r>
      <w:r w:rsidRPr="00B46B4B">
        <w:rPr>
          <w:rFonts w:hint="cs"/>
          <w:b/>
          <w:bCs/>
          <w:sz w:val="28"/>
          <w:szCs w:val="28"/>
          <w:rtl/>
        </w:rPr>
        <w:t>ן</w:t>
      </w:r>
      <w:r>
        <w:rPr>
          <w:rFonts w:hint="cs"/>
          <w:rtl/>
        </w:rPr>
        <w:t>) בזמן הנדה.</w:t>
      </w:r>
    </w:p>
    <w:p w:rsidR="00E63FF5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t xml:space="preserve">וכן, </w:t>
      </w:r>
      <w:r w:rsidRPr="00B46B4B">
        <w:rPr>
          <w:rFonts w:hint="cs"/>
          <w:b/>
          <w:bCs/>
          <w:sz w:val="28"/>
          <w:szCs w:val="28"/>
          <w:rtl/>
        </w:rPr>
        <w:t>טט</w:t>
      </w:r>
      <w:r w:rsidRPr="00B46B4B">
        <w:rPr>
          <w:rFonts w:hint="cs"/>
          <w:rtl/>
        </w:rPr>
        <w:t xml:space="preserve"> של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ומאה-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הרה רומז גם לשתי מדרגות של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וב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וב לשמים [בזמן ה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ומאה] ו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וב לבריות [בזמן ה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הרה]"</w:t>
      </w:r>
      <w:r w:rsidRPr="00C37DFC">
        <w:rPr>
          <w:rStyle w:val="a6"/>
          <w:rtl/>
        </w:rPr>
        <w:endnoteReference w:id="40"/>
      </w:r>
      <w:r>
        <w:rPr>
          <w:rFonts w:hint="cs"/>
          <w:rtl/>
        </w:rPr>
        <w:t xml:space="preserve">. שתי מדרגות הטוב הן </w:t>
      </w:r>
      <w:r w:rsidRPr="007F63B7">
        <w:rPr>
          <w:rFonts w:hint="cs"/>
          <w:b/>
          <w:bCs/>
          <w:sz w:val="28"/>
          <w:szCs w:val="28"/>
          <w:rtl/>
        </w:rPr>
        <w:t>ב</w:t>
      </w:r>
      <w:r w:rsidRPr="00B46B4B">
        <w:rPr>
          <w:rFonts w:hint="cs"/>
          <w:rtl/>
        </w:rPr>
        <w:t xml:space="preserve"> פעמים "כי טוב"</w:t>
      </w:r>
      <w:r w:rsidRPr="00C37DFC">
        <w:rPr>
          <w:rStyle w:val="a6"/>
          <w:rtl/>
        </w:rPr>
        <w:endnoteReference w:id="41"/>
      </w:r>
      <w:r w:rsidRPr="00B46B4B">
        <w:rPr>
          <w:rFonts w:hint="cs"/>
          <w:rtl/>
        </w:rPr>
        <w:t xml:space="preserve"> ביום השלישי למעשה בראשית</w:t>
      </w:r>
      <w:r w:rsidRPr="00C37DFC">
        <w:rPr>
          <w:rStyle w:val="a6"/>
          <w:rtl/>
        </w:rPr>
        <w:endnoteReference w:id="42"/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"כי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וב" ראשון על הפרדת המים מהיבשה, על דרך הפרידה והריחוק בזמן ה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ומאה, ו"כי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וב" שני ביחס לזרע הארץ, על דרך המשכת הזרע בזמן ה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>
        <w:rPr>
          <w:rFonts w:hint="cs"/>
          <w:rtl/>
        </w:rPr>
        <w:t xml:space="preserve">הרה. </w:t>
      </w:r>
    </w:p>
    <w:p w:rsidR="00E63FF5" w:rsidRDefault="00E63FF5" w:rsidP="00E63FF5">
      <w:pPr>
        <w:rPr>
          <w:rFonts w:hint="cs"/>
          <w:rtl/>
        </w:rPr>
      </w:pPr>
      <w:r w:rsidRPr="007F63B7">
        <w:rPr>
          <w:rFonts w:hint="cs"/>
          <w:b/>
          <w:bCs/>
          <w:sz w:val="28"/>
          <w:szCs w:val="28"/>
          <w:rtl/>
        </w:rPr>
        <w:t>טט</w:t>
      </w:r>
      <w:r>
        <w:rPr>
          <w:rFonts w:hint="cs"/>
          <w:rtl/>
        </w:rPr>
        <w:t xml:space="preserve"> גם רומז לשתי</w:t>
      </w:r>
      <w:r w:rsidRPr="00B46B4B">
        <w:rPr>
          <w:rFonts w:hint="cs"/>
          <w:rtl/>
        </w:rPr>
        <w:t xml:space="preserve"> מדרגות של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>
        <w:rPr>
          <w:rFonts w:hint="cs"/>
          <w:rtl/>
        </w:rPr>
        <w:t>מיר, טוב נסתר ש</w:t>
      </w:r>
      <w:r w:rsidRPr="00B46B4B">
        <w:rPr>
          <w:rFonts w:hint="cs"/>
          <w:rtl/>
        </w:rPr>
        <w:t>בבחינת "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וביה גניז בגוויה"</w:t>
      </w:r>
      <w:r w:rsidRPr="00C37DFC">
        <w:rPr>
          <w:rStyle w:val="a6"/>
          <w:rtl/>
        </w:rPr>
        <w:endnoteReference w:id="43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 xml:space="preserve">מיר אחד </w:t>
      </w:r>
      <w:r>
        <w:rPr>
          <w:rFonts w:hint="cs"/>
          <w:rtl/>
        </w:rPr>
        <w:t xml:space="preserve">הוא </w:t>
      </w:r>
      <w:r w:rsidRPr="00B46B4B">
        <w:rPr>
          <w:rFonts w:hint="cs"/>
          <w:rtl/>
        </w:rPr>
        <w:t>בזמן ה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ומאה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בו הקשר מסתתר (בבחינת "הבדלה")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ו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מיר אחד בזמן ה</w:t>
      </w:r>
      <w:r w:rsidRPr="00B46B4B">
        <w:rPr>
          <w:rFonts w:hint="cs"/>
          <w:b/>
          <w:bCs/>
          <w:sz w:val="28"/>
          <w:szCs w:val="28"/>
          <w:rtl/>
        </w:rPr>
        <w:t>ט</w:t>
      </w:r>
      <w:r w:rsidRPr="00B46B4B">
        <w:rPr>
          <w:rFonts w:hint="cs"/>
          <w:rtl/>
        </w:rPr>
        <w:t>הרה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בו מתגלה בצניעות רבה הקשר הטמיר בין האיש לאשתו (בבחינת "המתקה", כאשר אין מיעוט אחר מיעוט אלא לרבות</w:t>
      </w:r>
      <w:r w:rsidRPr="00C37DFC">
        <w:rPr>
          <w:rStyle w:val="a6"/>
          <w:rtl/>
        </w:rPr>
        <w:endnoteReference w:id="44"/>
      </w:r>
      <w:r w:rsidRPr="00B46B4B">
        <w:rPr>
          <w:rFonts w:hint="cs"/>
          <w:rtl/>
        </w:rPr>
        <w:t xml:space="preserve">, ועל דרך זה אין טמירות אחר טמירות אלא לשם גילוי, וד"ל). </w:t>
      </w:r>
    </w:p>
    <w:p w:rsidR="00E63FF5" w:rsidRPr="00B46B4B" w:rsidRDefault="00E63FF5" w:rsidP="00E63FF5">
      <w:pPr>
        <w:rPr>
          <w:rFonts w:hint="cs"/>
          <w:rtl/>
        </w:rPr>
      </w:pPr>
      <w:r w:rsidRPr="00B46B4B">
        <w:rPr>
          <w:rFonts w:hint="cs"/>
          <w:rtl/>
        </w:rPr>
        <w:lastRenderedPageBreak/>
        <w:t xml:space="preserve">ובחיבור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 xml:space="preserve">רמזים </w:t>
      </w:r>
      <w:r>
        <w:rPr>
          <w:rFonts w:hint="cs"/>
          <w:rtl/>
        </w:rPr>
        <w:t xml:space="preserve">האחרונים </w:t>
      </w:r>
      <w:r w:rsidRPr="00B46B4B">
        <w:rPr>
          <w:rFonts w:hint="cs"/>
          <w:rtl/>
        </w:rPr>
        <w:t xml:space="preserve">לרמזי </w:t>
      </w:r>
      <w:r w:rsidRPr="00B46B4B">
        <w:rPr>
          <w:rFonts w:hint="cs"/>
          <w:b/>
          <w:bCs/>
          <w:sz w:val="28"/>
          <w:szCs w:val="28"/>
          <w:rtl/>
        </w:rPr>
        <w:t>מטטרון</w:t>
      </w:r>
      <w:r w:rsidRPr="00B46B4B">
        <w:rPr>
          <w:rFonts w:hint="cs"/>
          <w:rtl/>
        </w:rPr>
        <w:t xml:space="preserve">: </w:t>
      </w:r>
      <w:r w:rsidRPr="00B46B4B">
        <w:rPr>
          <w:rFonts w:hint="cs"/>
          <w:b/>
          <w:bCs/>
          <w:sz w:val="28"/>
          <w:szCs w:val="28"/>
          <w:rtl/>
        </w:rPr>
        <w:t>טוב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טוב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רמון</w:t>
      </w:r>
      <w:r w:rsidRPr="00B46B4B">
        <w:rPr>
          <w:rFonts w:hint="cs"/>
          <w:rtl/>
        </w:rPr>
        <w:t xml:space="preserve"> עולה </w:t>
      </w:r>
      <w:r w:rsidRPr="00B46B4B">
        <w:rPr>
          <w:rFonts w:hint="cs"/>
          <w:b/>
          <w:bCs/>
          <w:sz w:val="28"/>
          <w:szCs w:val="28"/>
          <w:rtl/>
        </w:rPr>
        <w:t>יחד</w:t>
      </w:r>
      <w:r w:rsidRPr="00B46B4B">
        <w:rPr>
          <w:rFonts w:hint="cs"/>
          <w:rtl/>
        </w:rPr>
        <w:t xml:space="preserve"> פעמים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B46B4B">
        <w:rPr>
          <w:rFonts w:hint="cs"/>
          <w:rtl/>
        </w:rPr>
        <w:t xml:space="preserve"> ו-</w:t>
      </w:r>
      <w:r w:rsidRPr="00B46B4B">
        <w:rPr>
          <w:rFonts w:hint="cs"/>
          <w:b/>
          <w:bCs/>
          <w:sz w:val="28"/>
          <w:szCs w:val="28"/>
          <w:rtl/>
        </w:rPr>
        <w:t>טמיר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טמיר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רמון</w:t>
      </w:r>
      <w:r w:rsidRPr="00B46B4B">
        <w:rPr>
          <w:rFonts w:hint="cs"/>
          <w:rtl/>
        </w:rPr>
        <w:t xml:space="preserve"> עולה </w:t>
      </w:r>
      <w:r w:rsidRPr="00B46B4B">
        <w:rPr>
          <w:rFonts w:hint="cs"/>
          <w:b/>
          <w:bCs/>
          <w:sz w:val="28"/>
          <w:szCs w:val="28"/>
          <w:rtl/>
        </w:rPr>
        <w:t>יחד</w:t>
      </w:r>
      <w:r w:rsidRPr="00B46B4B">
        <w:rPr>
          <w:rFonts w:hint="cs"/>
          <w:rtl/>
        </w:rPr>
        <w:t xml:space="preserve"> פעמים </w:t>
      </w:r>
      <w:r w:rsidRPr="00B46B4B">
        <w:rPr>
          <w:rFonts w:hint="cs"/>
          <w:b/>
          <w:bCs/>
          <w:sz w:val="28"/>
          <w:szCs w:val="28"/>
          <w:rtl/>
        </w:rPr>
        <w:t>יחידה</w:t>
      </w:r>
      <w:r w:rsidRPr="00B46B4B">
        <w:rPr>
          <w:rFonts w:hint="cs"/>
          <w:rtl/>
        </w:rPr>
        <w:t xml:space="preserve"> (העולה </w:t>
      </w:r>
      <w:r w:rsidRPr="00B46B4B">
        <w:rPr>
          <w:rFonts w:hint="cs"/>
          <w:b/>
          <w:bCs/>
          <w:sz w:val="28"/>
          <w:szCs w:val="28"/>
          <w:rtl/>
        </w:rPr>
        <w:t>שדי</w:t>
      </w:r>
      <w:r w:rsidRPr="00B46B4B">
        <w:rPr>
          <w:rFonts w:hint="cs"/>
          <w:rtl/>
        </w:rPr>
        <w:t xml:space="preserve">, סוד שם </w:t>
      </w:r>
      <w:r w:rsidRPr="00B46B4B">
        <w:rPr>
          <w:rFonts w:hint="cs"/>
          <w:b/>
          <w:bCs/>
          <w:sz w:val="28"/>
          <w:szCs w:val="28"/>
          <w:rtl/>
        </w:rPr>
        <w:t>מטטרון</w:t>
      </w:r>
      <w:r w:rsidRPr="00B46B4B">
        <w:rPr>
          <w:rFonts w:hint="cs"/>
          <w:rtl/>
        </w:rPr>
        <w:t xml:space="preserve">, במילוי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שין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דלת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יוד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כאשר אותיות המילוי לבדן עולות "</w:t>
      </w:r>
      <w:r w:rsidRPr="00B46B4B">
        <w:rPr>
          <w:rFonts w:hint="cs"/>
          <w:b/>
          <w:bCs/>
          <w:sz w:val="28"/>
          <w:szCs w:val="28"/>
          <w:rtl/>
        </w:rPr>
        <w:t>פרו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ורבו</w:t>
      </w:r>
      <w:r w:rsidRPr="00B46B4B">
        <w:rPr>
          <w:rFonts w:hint="cs"/>
          <w:rtl/>
        </w:rPr>
        <w:t>").</w:t>
      </w:r>
    </w:p>
    <w:p w:rsidR="005F4A47" w:rsidRDefault="007035F3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5F3" w:rsidRDefault="007035F3" w:rsidP="00E63FF5">
      <w:pPr>
        <w:spacing w:after="0" w:line="240" w:lineRule="auto"/>
      </w:pPr>
      <w:r>
        <w:separator/>
      </w:r>
    </w:p>
  </w:endnote>
  <w:endnote w:type="continuationSeparator" w:id="0">
    <w:p w:rsidR="007035F3" w:rsidRDefault="007035F3" w:rsidP="00E63FF5">
      <w:pPr>
        <w:spacing w:after="0" w:line="240" w:lineRule="auto"/>
      </w:pPr>
      <w:r>
        <w:continuationSeparator/>
      </w:r>
    </w:p>
  </w:endnote>
  <w:endnote w:id="1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לבמדבר ה, ב (ובכ"ד)</w:t>
      </w:r>
    </w:p>
  </w:endnote>
  <w:endnote w:id="2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לשמות כד, י</w:t>
      </w:r>
    </w:p>
  </w:endnote>
  <w:endnote w:id="3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פ"ה מט"ז.</w:t>
      </w:r>
    </w:p>
  </w:endnote>
  <w:endnote w:id="4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לקוטי הלכות ספירת העמר א, ובכ"ד.</w:t>
      </w:r>
    </w:p>
  </w:endnote>
  <w:endnote w:id="5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לעיל שער ד בתורה "נוגע ואינו נוגע" וביין משמח ח"ב שער ה בתורה "ידיעה ואי-ידיעה".</w:t>
      </w:r>
    </w:p>
  </w:endnote>
  <w:endnote w:id="6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סנהדרין לז, א, תנחומא כי תשא ב, שיר השירים רבה ז, ז (וכנ"ל בתורה "כשושנה אדומה ראיתי").</w:t>
      </w:r>
    </w:p>
  </w:endnote>
  <w:endnote w:id="7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ירמיה לא, ב (וראה לעיל שער ה בתורה "משחקת לפניו תמיד").</w:t>
      </w:r>
    </w:p>
  </w:endnote>
  <w:endnote w:id="8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ו, ח.</w:t>
      </w:r>
    </w:p>
  </w:endnote>
  <w:endnote w:id="9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גם יומא יח, ב (ובכ"ד) </w:t>
      </w:r>
      <w:r>
        <w:rPr>
          <w:rtl/>
        </w:rPr>
        <w:t>–</w:t>
      </w:r>
      <w:r>
        <w:rPr>
          <w:rFonts w:hint="cs"/>
          <w:rtl/>
        </w:rPr>
        <w:t xml:space="preserve"> "אינו דומה מי שיש לו פת בסלו למי שאין לו פת בסלו".</w:t>
      </w:r>
    </w:p>
  </w:endnote>
  <w:endnote w:id="10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לט, ו. ראה רש"י עה"פ (עפ"י בראשית רבה פו, ד) וראה גם שמות רבה א, לב.</w:t>
      </w:r>
    </w:p>
  </w:endnote>
  <w:endnote w:id="11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לא, א (ובכ"ד). ראה גם רש"י לשיר השירים ז, ג.</w:t>
      </w:r>
    </w:p>
  </w:endnote>
  <w:endnote w:id="12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לעיל בתורה "אש תמיד" (ובפרט שם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Ref188255415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כ</w:t>
      </w:r>
      <w:r>
        <w:rPr>
          <w:rtl/>
        </w:rPr>
        <w:fldChar w:fldCharType="end"/>
      </w:r>
      <w:r>
        <w:rPr>
          <w:rFonts w:hint="cs"/>
          <w:rtl/>
        </w:rPr>
        <w:t>).</w:t>
      </w:r>
    </w:p>
  </w:endnote>
  <w:endnote w:id="13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ספר יצירה פ"א מ"ג.</w:t>
      </w:r>
    </w:p>
  </w:endnote>
  <w:endnote w:id="14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חולין קלב, ב (וראה גם בבא מציעא פו, ב).</w:t>
      </w:r>
    </w:p>
  </w:endnote>
  <w:endnote w:id="15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לו, לט. ראה הקדמת שכינה ביניהם הערה יא (וכן בעתה אחישנה עמ' צז, ובכ"ד).</w:t>
      </w:r>
    </w:p>
  </w:endnote>
  <w:endnote w:id="16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יז, א (ונתבאר בהקדמת שכינה ביניהם אות ב).</w:t>
      </w:r>
    </w:p>
  </w:endnote>
  <w:endnote w:id="17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ו, ח.</w:t>
      </w:r>
    </w:p>
  </w:endnote>
  <w:endnote w:id="18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יג, טז. דברים יא, ח.</w:t>
      </w:r>
    </w:p>
  </w:endnote>
  <w:endnote w:id="19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מז, יב.</w:t>
      </w:r>
    </w:p>
  </w:endnote>
  <w:endnote w:id="20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צואת הריב"ש קא (וראה יין משמח ח"ב שער ג בתורה "הסח הדעת").</w:t>
      </w:r>
    </w:p>
  </w:endnote>
  <w:endnote w:id="21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שבת פ"ו מ"א.</w:t>
      </w:r>
    </w:p>
  </w:endnote>
  <w:endnote w:id="22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בתורה "ובלבד שתעטרונו בזהובים".</w:t>
      </w:r>
    </w:p>
  </w:endnote>
  <w:endnote w:id="23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יחזקאל כד, יז (ובמפרשים שם). ראה גם מגילה טז, ב.</w:t>
      </w:r>
    </w:p>
  </w:endnote>
  <w:endnote w:id="24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כח.</w:t>
      </w:r>
    </w:p>
  </w:endnote>
  <w:endnote w:id="25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מגילה טז, ב (וראה גם סוד הוי' ליראיו שער נ כי כנגד "ויקר" מכוונת מצות מתנות לאביונים </w:t>
      </w:r>
      <w:r>
        <w:rPr>
          <w:rtl/>
        </w:rPr>
        <w:t>–</w:t>
      </w:r>
      <w:r>
        <w:rPr>
          <w:rFonts w:hint="cs"/>
          <w:rtl/>
        </w:rPr>
        <w:t xml:space="preserve"> נתינת לחם לאלו הזקוקים לכך.</w:t>
      </w:r>
    </w:p>
  </w:endnote>
  <w:endnote w:id="26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שכינה ביניהם פ"א.</w:t>
      </w:r>
    </w:p>
  </w:endnote>
  <w:endnote w:id="27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לקו"ת לאריז"ל פרשת עקב (ובכ"ד).</w:t>
      </w:r>
    </w:p>
  </w:endnote>
  <w:endnote w:id="28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ח, ח.</w:t>
      </w:r>
    </w:p>
  </w:endnote>
  <w:endnote w:id="29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דניאל י, ח.</w:t>
      </w:r>
    </w:p>
  </w:endnote>
  <w:endnote w:id="30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איכה א, יג.</w:t>
      </w:r>
    </w:p>
  </w:endnote>
  <w:endnote w:id="31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ויקרא יב, ב.</w:t>
      </w:r>
    </w:p>
  </w:endnote>
  <w:endnote w:id="32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דניאל יא, כא. דהי"א כט, כה.</w:t>
      </w:r>
    </w:p>
  </w:endnote>
  <w:endnote w:id="33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עץ חיים שי"ט פ"ט (מ"ב) </w:t>
      </w:r>
      <w:r>
        <w:rPr>
          <w:rtl/>
        </w:rPr>
        <w:t>–</w:t>
      </w:r>
      <w:r>
        <w:rPr>
          <w:rFonts w:hint="cs"/>
          <w:rtl/>
        </w:rPr>
        <w:t xml:space="preserve"> ובכ"ד, בשם הזהר.</w:t>
      </w:r>
    </w:p>
  </w:endnote>
  <w:endnote w:id="34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שער הליקוטים בראשית פ"ג, ובכ"ד.</w:t>
      </w:r>
    </w:p>
  </w:endnote>
  <w:endnote w:id="35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לז, כה (וראה זהר ח"א צה, ב; קמג, א).</w:t>
      </w:r>
    </w:p>
  </w:endnote>
  <w:endnote w:id="36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שער ה בתורה "בדרך למודעות טבעית".</w:t>
      </w:r>
    </w:p>
  </w:endnote>
  <w:endnote w:id="37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סנהדרין צב, א.</w:t>
      </w:r>
    </w:p>
  </w:endnote>
  <w:endnote w:id="38">
    <w:p w:rsidR="00E63FF5" w:rsidRDefault="00E63FF5" w:rsidP="00E63FF5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כלשון רש"י שם.</w:t>
      </w:r>
    </w:p>
  </w:endnote>
  <w:endnote w:id="39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תורת שלום עמ' 172-173 ובהקדמת סוד הוי' ליראיו הערה יג.</w:t>
      </w:r>
    </w:p>
  </w:endnote>
  <w:endnote w:id="40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קידושין מ, א. ילקוט שמעוני שמות רמז תצח.</w:t>
      </w:r>
    </w:p>
  </w:endnote>
  <w:endnote w:id="41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י; שם פסוק יב.</w:t>
      </w:r>
    </w:p>
  </w:endnote>
  <w:endnote w:id="42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ד, ו.</w:t>
      </w:r>
    </w:p>
  </w:endnote>
  <w:endnote w:id="43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זהר ח"א ג, א; ח"ב קכז, א (ובכ"ד). </w:t>
      </w:r>
    </w:p>
  </w:endnote>
  <w:endnote w:id="44">
    <w:p w:rsidR="00E63FF5" w:rsidRDefault="00E63FF5" w:rsidP="00E63FF5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יומא מג, א (ובכ"ד).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5F3" w:rsidRDefault="007035F3" w:rsidP="00E63FF5">
      <w:pPr>
        <w:spacing w:after="0" w:line="240" w:lineRule="auto"/>
      </w:pPr>
      <w:r>
        <w:separator/>
      </w:r>
    </w:p>
  </w:footnote>
  <w:footnote w:type="continuationSeparator" w:id="0">
    <w:p w:rsidR="007035F3" w:rsidRDefault="007035F3" w:rsidP="00E63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C2"/>
    <w:rsid w:val="00061E65"/>
    <w:rsid w:val="006D03C2"/>
    <w:rsid w:val="007035F3"/>
    <w:rsid w:val="00AC2310"/>
    <w:rsid w:val="00E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63FF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63FF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63FF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63FF5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E63FF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E63FF5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E63FF5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63FF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63FF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E63F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63FF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63FF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63FF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63FF5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E63FF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E63FF5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E63FF5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63FF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63FF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E63F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2017-08-15T16:47:00Z</dcterms:created>
  <dcterms:modified xsi:type="dcterms:W3CDTF">2017-08-15T16:47:00Z</dcterms:modified>
</cp:coreProperties>
</file>