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2E4" w:rsidRPr="00F172E4" w:rsidRDefault="00F172E4" w:rsidP="00F172E4">
      <w:pPr>
        <w:spacing w:before="1080" w:after="720" w:line="240" w:lineRule="auto"/>
        <w:ind w:left="-45"/>
        <w:jc w:val="right"/>
        <w:outlineLvl w:val="1"/>
        <w:rPr>
          <w:rFonts w:ascii="DF Calligraphic Ornaments LET" w:eastAsia="Times New Roman" w:hAnsi="DF Calligraphic Ornaments LET" w:cs="Guttman Soncino" w:hint="cs"/>
          <w:noProof/>
          <w:spacing w:val="20"/>
          <w:w w:val="90"/>
          <w:kern w:val="28"/>
          <w:sz w:val="44"/>
          <w:szCs w:val="46"/>
          <w:rtl/>
        </w:rPr>
      </w:pPr>
      <w:r w:rsidRPr="00F172E4">
        <w:rPr>
          <w:rFonts w:ascii="DF Calligraphic Ornaments LET" w:eastAsia="Times New Roman" w:hAnsi="DF Calligraphic Ornaments LET" w:cs="Guttman Soncino" w:hint="cs"/>
          <w:noProof/>
          <w:spacing w:val="20"/>
          <w:w w:val="90"/>
          <w:kern w:val="28"/>
          <w:sz w:val="44"/>
          <w:szCs w:val="46"/>
          <w:rtl/>
        </w:rPr>
        <w:t>שלש אמתות</w:t>
      </w:r>
    </w:p>
    <w:p w:rsidR="00F172E4" w:rsidRPr="00F172E4" w:rsidRDefault="00F172E4" w:rsidP="00F172E4">
      <w:pPr>
        <w:keepNext/>
        <w:framePr w:wrap="around" w:vAnchor="text" w:hAnchor="text" w:xAlign="right" w:y="-112"/>
        <w:spacing w:after="0" w:line="720" w:lineRule="exact"/>
        <w:jc w:val="both"/>
        <w:textAlignment w:val="baseline"/>
        <w:rPr>
          <w:rFonts w:ascii="Times New Roman" w:eastAsia="Times New Roman" w:hAnsi="Times New Roman" w:cs="Guttman Soncino" w:hint="cs"/>
          <w:b/>
          <w:bCs/>
          <w:color w:val="808080"/>
          <w:position w:val="-5"/>
          <w:sz w:val="85"/>
          <w:szCs w:val="72"/>
          <w:rtl/>
          <w:lang w:eastAsia="he-IL"/>
        </w:rPr>
      </w:pPr>
      <w:r w:rsidRPr="00F172E4">
        <w:rPr>
          <w:rFonts w:ascii="Times New Roman" w:eastAsia="Times New Roman" w:hAnsi="Times New Roman" w:cs="Guttman Soncino" w:hint="cs"/>
          <w:b/>
          <w:bCs/>
          <w:color w:val="808080"/>
          <w:position w:val="-5"/>
          <w:sz w:val="85"/>
          <w:szCs w:val="72"/>
          <w:rtl/>
          <w:lang w:eastAsia="he-IL"/>
        </w:rPr>
        <w:t>ה</w:t>
      </w:r>
    </w:p>
    <w:p w:rsidR="00F172E4" w:rsidRPr="00F172E4" w:rsidRDefault="00F172E4" w:rsidP="00F172E4">
      <w:pPr>
        <w:widowControl w:val="0"/>
        <w:spacing w:after="120" w:line="330" w:lineRule="exact"/>
        <w:jc w:val="both"/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</w:pP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הלכה הפסוקה ש"בנות ישראל החמירו על עצמן שאפילו רואות טיפת דם כחרדל יושבת עליה שבעה נקיים"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1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מופיעה לראשונה בהקשר של דיני תפלה. בהמשך אותו דף בגמרא מופיעים לימודים מחנה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הדמות העיקרית שמתפלתה נלמדות הלכות תפלה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ושם כתוב:</w:t>
      </w:r>
    </w:p>
    <w:p w:rsidR="00F172E4" w:rsidRPr="00F172E4" w:rsidRDefault="00F172E4" w:rsidP="00F172E4">
      <w:pPr>
        <w:spacing w:after="120" w:line="320" w:lineRule="exact"/>
        <w:ind w:left="907"/>
        <w:contextualSpacing/>
        <w:jc w:val="both"/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</w:pPr>
      <w:r w:rsidRPr="00F172E4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"</w:t>
      </w:r>
      <w:r w:rsidRPr="00F172E4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>בעני אמתך</w:t>
      </w:r>
      <w:r w:rsidRPr="00F172E4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...</w:t>
      </w:r>
      <w:r w:rsidRPr="00F172E4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אל תשכח את אמתך</w:t>
      </w:r>
      <w:r w:rsidRPr="00F172E4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...</w:t>
      </w:r>
      <w:r w:rsidRPr="00F172E4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ונתתה לאמתך</w:t>
      </w:r>
      <w:r w:rsidRPr="00F172E4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".</w:t>
      </w:r>
      <w:r w:rsidRPr="00F172E4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אמר רבי יוסי ברבי חנינא</w:t>
      </w:r>
      <w:r w:rsidRPr="00F172E4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,</w:t>
      </w:r>
      <w:r w:rsidRPr="00F172E4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שלש אמתות</w:t>
      </w:r>
      <w:r w:rsidRPr="00F172E4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 xml:space="preserve"> [דריש להו לשון מיתה, רש"י]</w:t>
      </w:r>
      <w:r w:rsidRPr="00F172E4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הללו למה</w:t>
      </w:r>
      <w:r w:rsidRPr="00F172E4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?</w:t>
      </w:r>
      <w:r w:rsidRPr="00F172E4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אמרה חנה לפני הקדוש ברוך הוא</w:t>
      </w:r>
      <w:r w:rsidRPr="00F172E4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:</w:t>
      </w:r>
      <w:r w:rsidRPr="00F172E4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רבונו של עולם</w:t>
      </w:r>
      <w:r w:rsidRPr="00F172E4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,</w:t>
      </w:r>
      <w:r w:rsidRPr="00F172E4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שלשה בדקי מיתה בראת באשה</w:t>
      </w:r>
      <w:r w:rsidRPr="00F172E4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,</w:t>
      </w:r>
      <w:r w:rsidRPr="00F172E4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ואמרי לה שלשה דבקי מיתה</w:t>
      </w:r>
      <w:r w:rsidRPr="00F172E4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,</w:t>
      </w:r>
      <w:r w:rsidRPr="00F172E4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ואלו הן –</w:t>
      </w:r>
      <w:r w:rsidRPr="00F172E4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 xml:space="preserve"> </w:t>
      </w:r>
      <w:r w:rsidRPr="00F172E4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>נדה וחלה והדלקת הנר כלום</w:t>
      </w:r>
      <w:r w:rsidRPr="00F172E4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.</w:t>
      </w:r>
      <w:r w:rsidRPr="00F172E4">
        <w:rPr>
          <w:rFonts w:ascii="Times New Roman" w:eastAsia="Times New Roman" w:hAnsi="Times New Roman" w:cs="Guttman Soncino"/>
          <w:noProof/>
          <w:snapToGrid w:val="0"/>
          <w:sz w:val="23"/>
          <w:szCs w:val="21"/>
          <w:rtl/>
        </w:rPr>
        <w:t xml:space="preserve"> עברתי על אחת מהן</w:t>
      </w:r>
      <w:r w:rsidRPr="00F172E4">
        <w:rPr>
          <w:rFonts w:ascii="Times New Roman" w:eastAsia="Times New Roman" w:hAnsi="Times New Roman" w:cs="Guttman Soncino" w:hint="cs"/>
          <w:noProof/>
          <w:snapToGrid w:val="0"/>
          <w:sz w:val="23"/>
          <w:szCs w:val="21"/>
          <w:rtl/>
        </w:rPr>
        <w:t>?!</w:t>
      </w:r>
    </w:p>
    <w:p w:rsidR="00F172E4" w:rsidRPr="00F172E4" w:rsidRDefault="00F172E4" w:rsidP="00F172E4">
      <w:pPr>
        <w:widowControl w:val="0"/>
        <w:spacing w:after="120" w:line="330" w:lineRule="exact"/>
        <w:jc w:val="both"/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</w:pP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ל</w:t>
      </w:r>
      <w:r w:rsidRPr="00F172E4">
        <w:rPr>
          <w:rFonts w:ascii="Times New Roman" w:eastAsia="Times New Roman" w:hAnsi="Times New Roman" w:cs="oprFrank" w:hint="cs"/>
          <w:b/>
          <w:bCs/>
          <w:sz w:val="28"/>
          <w:szCs w:val="27"/>
          <w:rtl/>
          <w:lang w:eastAsia="he-IL"/>
        </w:rPr>
        <w:t>חנה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יש קשר מיוחד לשלש מצוות הנשים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</w:t>
      </w:r>
      <w:r w:rsidRPr="00F172E4">
        <w:rPr>
          <w:rFonts w:ascii="Times New Roman" w:eastAsia="Times New Roman" w:hAnsi="Times New Roman" w:cs="oprFrank" w:hint="cs"/>
          <w:b/>
          <w:bCs/>
          <w:sz w:val="28"/>
          <w:szCs w:val="27"/>
          <w:rtl/>
          <w:lang w:eastAsia="he-IL"/>
        </w:rPr>
        <w:t>ח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לה, </w:t>
      </w:r>
      <w:r w:rsidRPr="00F172E4">
        <w:rPr>
          <w:rFonts w:ascii="Times New Roman" w:eastAsia="Times New Roman" w:hAnsi="Times New Roman" w:cs="oprFrank" w:hint="cs"/>
          <w:b/>
          <w:bCs/>
          <w:sz w:val="28"/>
          <w:szCs w:val="27"/>
          <w:rtl/>
          <w:lang w:eastAsia="he-IL"/>
        </w:rPr>
        <w:t>נ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דה, </w:t>
      </w:r>
      <w:r w:rsidRPr="00F172E4">
        <w:rPr>
          <w:rFonts w:ascii="Times New Roman" w:eastAsia="Times New Roman" w:hAnsi="Times New Roman" w:cs="oprFrank" w:hint="cs"/>
          <w:b/>
          <w:bCs/>
          <w:sz w:val="28"/>
          <w:szCs w:val="27"/>
          <w:rtl/>
          <w:lang w:eastAsia="he-IL"/>
        </w:rPr>
        <w:t>ה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דלקת הנר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כידוע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2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. אמנם, כאן נמנו שלש המצוות בסדר אחר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3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נדה, חלה, הדלקת הנר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סדר של הכנעה-הבדלה-המתקה שראוי </w:t>
      </w:r>
      <w:proofErr w:type="spellStart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להקבילו</w:t>
      </w:r>
      <w:proofErr w:type="spellEnd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ל"שלש אמתות" עליהן נדרשת הדרשה:  </w:t>
      </w:r>
    </w:p>
    <w:p w:rsidR="00F172E4" w:rsidRPr="00F172E4" w:rsidRDefault="00F172E4" w:rsidP="00F172E4">
      <w:pPr>
        <w:tabs>
          <w:tab w:val="num" w:pos="284"/>
        </w:tabs>
        <w:spacing w:after="120" w:line="330" w:lineRule="exact"/>
        <w:ind w:left="568" w:hanging="284"/>
        <w:jc w:val="both"/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</w:pP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"אם ראה תראה בעני אמתך" כנגד נדה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מצות ההכנעה העיקרית של </w:t>
      </w:r>
      <w:proofErr w:type="spellStart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האשה</w:t>
      </w:r>
      <w:proofErr w:type="spellEnd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, בה מורגש "עני אמתך".</w:t>
      </w:r>
    </w:p>
    <w:p w:rsidR="00F172E4" w:rsidRPr="00F172E4" w:rsidRDefault="00F172E4" w:rsidP="00F172E4">
      <w:pPr>
        <w:tabs>
          <w:tab w:val="num" w:pos="284"/>
        </w:tabs>
        <w:spacing w:after="120" w:line="330" w:lineRule="exact"/>
        <w:ind w:left="568" w:hanging="284"/>
        <w:jc w:val="both"/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</w:pP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"וזכרתני ולא תשכח את אמתך" כנגד הפרשת חלה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מצות ההבדלה, "כי החלה היא חלק קדוש שנבדל מן </w:t>
      </w:r>
      <w:proofErr w:type="spellStart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העסה</w:t>
      </w:r>
      <w:proofErr w:type="spellEnd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"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4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, המזכירה לנו את ה' גם בפעולות הגשמיות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5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וגורמת לכך שגם הוא יזכור ויפקוד אותנו (בתוך הנפש פנימה פעולת ההבדלה היא פעולה זכרית, כברית המילה ב"מקום שניכר שהוא זכר"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6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).</w:t>
      </w:r>
    </w:p>
    <w:p w:rsidR="00F172E4" w:rsidRPr="00F172E4" w:rsidRDefault="00F172E4" w:rsidP="00F172E4">
      <w:pPr>
        <w:tabs>
          <w:tab w:val="num" w:pos="284"/>
        </w:tabs>
        <w:spacing w:after="120" w:line="330" w:lineRule="exact"/>
        <w:ind w:left="568" w:hanging="284"/>
        <w:jc w:val="both"/>
        <w:rPr>
          <w:rFonts w:ascii="Times New Roman" w:eastAsia="Times New Roman" w:hAnsi="Times New Roman" w:cs="oprFrank" w:hint="cs"/>
          <w:sz w:val="26"/>
          <w:szCs w:val="26"/>
          <w:lang w:eastAsia="he-IL"/>
        </w:rPr>
      </w:pP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"</w:t>
      </w:r>
      <w:proofErr w:type="spellStart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ונתתה</w:t>
      </w:r>
      <w:proofErr w:type="spellEnd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לאמתך זרע אנשים" כנגד הדלקת הנר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מצות ההמתקה ("ומתוק האור"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7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) שסגולתה להמשיך את "נר הוי' נשמת אדם [חֹפש כל חדרי בטן]"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8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להיות "נר דלוק לו על ראשו"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9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של העובר בחדרי בטנה של </w:t>
      </w:r>
      <w:proofErr w:type="spellStart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האשה</w:t>
      </w:r>
      <w:proofErr w:type="spellEnd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"הרגיל בנר </w:t>
      </w:r>
      <w:proofErr w:type="spellStart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הויין</w:t>
      </w:r>
      <w:proofErr w:type="spellEnd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ליה בנים תלמידי חכמים"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10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.</w:t>
      </w:r>
    </w:p>
    <w:p w:rsidR="00F172E4" w:rsidRPr="00F172E4" w:rsidRDefault="00F172E4" w:rsidP="00F172E4">
      <w:pPr>
        <w:spacing w:after="120" w:line="330" w:lineRule="exact"/>
        <w:jc w:val="both"/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</w:pP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בפרטות, כל ה"שלש אמתות" כלולות במצות נדה, הקשורה על פי פשט להמשכת "זרע אמת" ברור ונקי. גם </w:t>
      </w:r>
      <w:proofErr w:type="spellStart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חוית</w:t>
      </w:r>
      <w:proofErr w:type="spellEnd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המיתה שדורשת הגמרא מופיעה בגלוי בראיית דם הנדה הגורמת למיתת-נפילת רוח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11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. לכן ניתן להקביל ל"שלש אמתות" את שלש מדרגות הנדה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"נדה של תורה", "נדה של חכמים", "נדה של בנות ישראל"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12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וללמוד מכך על סגולתן הפנימית:</w:t>
      </w:r>
    </w:p>
    <w:p w:rsidR="00F172E4" w:rsidRPr="00F172E4" w:rsidRDefault="00F172E4" w:rsidP="00F172E4">
      <w:pPr>
        <w:tabs>
          <w:tab w:val="num" w:pos="284"/>
        </w:tabs>
        <w:spacing w:after="120" w:line="330" w:lineRule="exact"/>
        <w:ind w:left="568" w:hanging="284"/>
        <w:jc w:val="both"/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</w:pP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lastRenderedPageBreak/>
        <w:t>כמובן, "נדה של תורה" הוא עצם מצות הנדה, "נדה שבנדה". ב"נדה של תורה" מורגש בעיקר "עני אמתך" והיא פועלת הכנעה.</w:t>
      </w:r>
    </w:p>
    <w:p w:rsidR="00F172E4" w:rsidRPr="00F172E4" w:rsidRDefault="00F172E4" w:rsidP="00F172E4">
      <w:pPr>
        <w:tabs>
          <w:tab w:val="num" w:pos="284"/>
        </w:tabs>
        <w:spacing w:after="120" w:line="330" w:lineRule="exact"/>
        <w:ind w:left="568" w:hanging="284"/>
        <w:jc w:val="both"/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</w:pP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"נדה של חכמים" היא "חלה שבנדה"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פעולת הבדלה וטהרה יתרה, וסגולתה זכירת ופקידת הבעל את אשתו (מתוך קדושת הברית, בידיעה ודאית שהיא טהורה).</w:t>
      </w:r>
    </w:p>
    <w:p w:rsidR="00F172E4" w:rsidRPr="00F172E4" w:rsidRDefault="00F172E4" w:rsidP="00F172E4">
      <w:pPr>
        <w:tabs>
          <w:tab w:val="num" w:pos="284"/>
        </w:tabs>
        <w:spacing w:after="120" w:line="330" w:lineRule="exact"/>
        <w:ind w:left="568" w:hanging="284"/>
        <w:jc w:val="both"/>
        <w:rPr>
          <w:rFonts w:ascii="Times New Roman" w:eastAsia="Times New Roman" w:hAnsi="Times New Roman" w:cs="oprFrank" w:hint="cs"/>
          <w:sz w:val="26"/>
          <w:szCs w:val="26"/>
          <w:lang w:eastAsia="he-IL"/>
        </w:rPr>
      </w:pP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"נדה של בנות ישראל" היא "הדלקת הנר שבנדה"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גילוי תכלית ההמתקה של הנדה, ש"כל </w:t>
      </w:r>
      <w:proofErr w:type="spellStart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אשה</w:t>
      </w:r>
      <w:proofErr w:type="spellEnd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שדמיה מרובין [ואף </w:t>
      </w:r>
      <w:proofErr w:type="spellStart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לטפת</w:t>
      </w:r>
      <w:proofErr w:type="spellEnd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דם כחרדל היא מתייחסת כדם מרובה הזב ימים רבים] בניה מרובין"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13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. סגולת חומרת בנות ישראל היא "</w:t>
      </w:r>
      <w:proofErr w:type="spellStart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ונתתה</w:t>
      </w:r>
      <w:proofErr w:type="spellEnd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לאמתך זרע אנשים" והיא מבטאת את מסירות נפשן של בנות ישראל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בשמחה רבה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להרבות את הדמות (כנודע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14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שעיקר </w:t>
      </w:r>
      <w:proofErr w:type="spellStart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כח</w:t>
      </w:r>
      <w:proofErr w:type="spellEnd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</w:t>
      </w:r>
      <w:proofErr w:type="spellStart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האשה-האמא</w:t>
      </w:r>
      <w:proofErr w:type="spellEnd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ב"פרו ורבו ומלאו את הארץ וכבשֻה ורדו"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15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הוא ה"ורבו").</w:t>
      </w:r>
    </w:p>
    <w:p w:rsidR="00F172E4" w:rsidRPr="00F172E4" w:rsidRDefault="00F172E4" w:rsidP="00F172E4">
      <w:pPr>
        <w:tabs>
          <w:tab w:val="num" w:pos="284"/>
        </w:tabs>
        <w:spacing w:after="120" w:line="330" w:lineRule="exact"/>
        <w:ind w:left="568" w:hanging="284"/>
        <w:jc w:val="both"/>
        <w:rPr>
          <w:rFonts w:ascii="Times New Roman" w:eastAsia="Times New Roman" w:hAnsi="Times New Roman" w:cs="oprFrank" w:hint="cs"/>
          <w:sz w:val="26"/>
          <w:szCs w:val="26"/>
          <w:lang w:eastAsia="he-IL"/>
        </w:rPr>
      </w:pP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חומרת בנות ישראל היא תוספת היום השביעי (לספור שבעה נקיים בכל מקרה), והיא בסוד הבאר האחרונה של יצחק אבינו (שרש </w:t>
      </w:r>
      <w:proofErr w:type="spellStart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הנוקבא</w:t>
      </w:r>
      <w:proofErr w:type="spellEnd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בין האבות) </w:t>
      </w:r>
      <w:r w:rsidRPr="00F172E4">
        <w:rPr>
          <w:rFonts w:ascii="Times New Roman" w:eastAsia="Times New Roman" w:hAnsi="Times New Roman" w:cs="oprFrank"/>
          <w:sz w:val="26"/>
          <w:szCs w:val="26"/>
          <w:rtl/>
          <w:lang w:eastAsia="he-IL"/>
        </w:rPr>
        <w:t>–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"שבעה"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16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. הבאר היינו טהרת יסוד </w:t>
      </w:r>
      <w:proofErr w:type="spellStart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הנוקבא</w:t>
      </w:r>
      <w:proofErr w:type="spellEnd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המעלה </w:t>
      </w:r>
      <w:proofErr w:type="spellStart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מ"נ</w:t>
      </w:r>
      <w:proofErr w:type="spellEnd"/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טהורים להמשכת נשמות קדושות. ובדרך רמז: כשמצרפים את האותיות </w:t>
      </w:r>
      <w:r w:rsidRPr="00F172E4">
        <w:rPr>
          <w:rFonts w:ascii="Times New Roman" w:eastAsia="Times New Roman" w:hAnsi="Times New Roman" w:cs="oprFrank" w:hint="cs"/>
          <w:b/>
          <w:bCs/>
          <w:sz w:val="28"/>
          <w:szCs w:val="27"/>
          <w:rtl/>
          <w:lang w:eastAsia="he-IL"/>
        </w:rPr>
        <w:t>לי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(ל-</w:t>
      </w:r>
      <w:r w:rsidRPr="00F172E4">
        <w:rPr>
          <w:rFonts w:ascii="Times New Roman" w:eastAsia="Times New Roman" w:hAnsi="Times New Roman" w:cs="oprFrank" w:hint="cs"/>
          <w:b/>
          <w:bCs/>
          <w:sz w:val="28"/>
          <w:szCs w:val="27"/>
          <w:rtl/>
          <w:lang w:eastAsia="he-IL"/>
        </w:rPr>
        <w:t>מ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)</w:t>
      </w:r>
      <w:r w:rsidRPr="00F172E4">
        <w:rPr>
          <w:rFonts w:ascii="Times New Roman" w:eastAsia="Times New Roman" w:hAnsi="Times New Roman" w:cs="oprFrank"/>
          <w:noProof/>
          <w:position w:val="-4"/>
          <w:sz w:val="26"/>
          <w:szCs w:val="27"/>
          <w:vertAlign w:val="superscript"/>
          <w:rtl/>
          <w:lang w:eastAsia="he-IL"/>
        </w:rPr>
        <w:endnoteReference w:id="17"/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שבביטוי </w:t>
      </w:r>
      <w:r w:rsidRPr="00F172E4">
        <w:rPr>
          <w:rFonts w:ascii="Times New Roman" w:eastAsia="Times New Roman" w:hAnsi="Times New Roman" w:cs="oprFrank" w:hint="cs"/>
          <w:b/>
          <w:bCs/>
          <w:sz w:val="28"/>
          <w:szCs w:val="27"/>
          <w:rtl/>
          <w:lang w:eastAsia="he-IL"/>
        </w:rPr>
        <w:t>בנות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</w:t>
      </w:r>
      <w:r w:rsidRPr="00F172E4">
        <w:rPr>
          <w:rFonts w:ascii="Times New Roman" w:eastAsia="Times New Roman" w:hAnsi="Times New Roman" w:cs="oprFrank" w:hint="cs"/>
          <w:b/>
          <w:bCs/>
          <w:sz w:val="28"/>
          <w:szCs w:val="27"/>
          <w:rtl/>
          <w:lang w:eastAsia="he-IL"/>
        </w:rPr>
        <w:t>ישראל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הוא הופך לצירוף אותיות </w:t>
      </w:r>
      <w:r w:rsidRPr="00F172E4">
        <w:rPr>
          <w:rFonts w:ascii="Times New Roman" w:eastAsia="Times New Roman" w:hAnsi="Times New Roman" w:cs="oprFrank" w:hint="cs"/>
          <w:b/>
          <w:bCs/>
          <w:sz w:val="28"/>
          <w:szCs w:val="27"/>
          <w:rtl/>
          <w:lang w:eastAsia="he-IL"/>
        </w:rPr>
        <w:t>באר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 xml:space="preserve"> </w:t>
      </w:r>
      <w:r w:rsidRPr="00F172E4">
        <w:rPr>
          <w:rFonts w:ascii="Times New Roman" w:eastAsia="Times New Roman" w:hAnsi="Times New Roman" w:cs="oprFrank" w:hint="cs"/>
          <w:b/>
          <w:bCs/>
          <w:sz w:val="28"/>
          <w:szCs w:val="27"/>
          <w:rtl/>
          <w:lang w:eastAsia="he-IL"/>
        </w:rPr>
        <w:t>נשמות</w:t>
      </w:r>
      <w:r w:rsidRPr="00F172E4">
        <w:rPr>
          <w:rFonts w:ascii="Times New Roman" w:eastAsia="Times New Roman" w:hAnsi="Times New Roman" w:cs="oprFrank" w:hint="cs"/>
          <w:sz w:val="26"/>
          <w:szCs w:val="26"/>
          <w:rtl/>
          <w:lang w:eastAsia="he-IL"/>
        </w:rPr>
        <w:t>.</w:t>
      </w:r>
    </w:p>
    <w:bookmarkStart w:id="0" w:name="_GoBack"/>
    <w:bookmarkEnd w:id="0"/>
    <w:bookmarkStart w:id="1" w:name="_MON_1564398648"/>
    <w:bookmarkEnd w:id="1"/>
    <w:p w:rsidR="005F4A47" w:rsidRDefault="00F172E4">
      <w:r>
        <w:object w:dxaOrig="8306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5.3pt" o:ole="">
            <v:imagedata r:id="rId7" o:title=""/>
          </v:shape>
          <o:OLEObject Type="Embed" ProgID="Word.Document.12" ShapeID="_x0000_i1025" DrawAspect="Content" ObjectID="_1564398678" r:id="rId8">
            <o:FieldCodes>\s</o:FieldCodes>
          </o:OLEObject>
        </w:object>
      </w:r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7DF" w:rsidRDefault="006347DF" w:rsidP="00F172E4">
      <w:pPr>
        <w:spacing w:after="0" w:line="240" w:lineRule="auto"/>
      </w:pPr>
      <w:r>
        <w:separator/>
      </w:r>
    </w:p>
  </w:endnote>
  <w:endnote w:type="continuationSeparator" w:id="0">
    <w:p w:rsidR="006347DF" w:rsidRDefault="006347DF" w:rsidP="00F172E4">
      <w:pPr>
        <w:spacing w:after="0" w:line="240" w:lineRule="auto"/>
      </w:pPr>
      <w:r>
        <w:continuationSeparator/>
      </w:r>
    </w:p>
  </w:endnote>
  <w:endnote w:id="1">
    <w:p w:rsidR="00F172E4" w:rsidRDefault="00F172E4" w:rsidP="00F172E4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ברכות לא, א.</w:t>
      </w:r>
    </w:p>
  </w:endnote>
  <w:endnote w:id="2">
    <w:p w:rsidR="00F172E4" w:rsidRDefault="00F172E4" w:rsidP="00F172E4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מגלה עמוקות </w:t>
      </w:r>
      <w:proofErr w:type="spellStart"/>
      <w:r>
        <w:rPr>
          <w:rFonts w:hint="cs"/>
          <w:rtl/>
        </w:rPr>
        <w:t>עה"ת</w:t>
      </w:r>
      <w:proofErr w:type="spellEnd"/>
      <w:r>
        <w:rPr>
          <w:rFonts w:hint="cs"/>
          <w:rtl/>
        </w:rPr>
        <w:t xml:space="preserve"> פ' שלח ד"ה "ג' מצוות" (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 xml:space="preserve">, ד) בשם הגהת </w:t>
      </w:r>
      <w:proofErr w:type="spellStart"/>
      <w:r>
        <w:rPr>
          <w:rFonts w:hint="cs"/>
          <w:rtl/>
        </w:rPr>
        <w:t>מיימוני</w:t>
      </w:r>
      <w:proofErr w:type="spellEnd"/>
      <w:r>
        <w:rPr>
          <w:rFonts w:hint="cs"/>
          <w:rtl/>
        </w:rPr>
        <w:t xml:space="preserve"> (ראה בסוף "הגהות </w:t>
      </w:r>
      <w:proofErr w:type="spellStart"/>
      <w:r>
        <w:rPr>
          <w:rFonts w:hint="cs"/>
          <w:rtl/>
        </w:rPr>
        <w:t>דשייכי</w:t>
      </w:r>
      <w:proofErr w:type="spellEnd"/>
      <w:r>
        <w:rPr>
          <w:rFonts w:hint="cs"/>
          <w:rtl/>
        </w:rPr>
        <w:t xml:space="preserve"> לספר זרעים" שנדפסו ברמב"ם סוף זרעים).</w:t>
      </w:r>
    </w:p>
  </w:endnote>
  <w:endnote w:id="3">
    <w:p w:rsidR="00F172E4" w:rsidRDefault="00F172E4" w:rsidP="00F172E4">
      <w:pPr>
        <w:pStyle w:val="a3"/>
        <w:rPr>
          <w:rFonts w:hint="cs"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גם </w:t>
      </w:r>
      <w:proofErr w:type="spellStart"/>
      <w:r>
        <w:rPr>
          <w:rFonts w:hint="cs"/>
          <w:rtl/>
        </w:rPr>
        <w:t>בחדושי</w:t>
      </w:r>
      <w:proofErr w:type="spellEnd"/>
      <w:r>
        <w:rPr>
          <w:rFonts w:hint="cs"/>
          <w:rtl/>
        </w:rPr>
        <w:t xml:space="preserve"> אגדות למהר"ל על </w:t>
      </w:r>
      <w:proofErr w:type="spellStart"/>
      <w:r>
        <w:rPr>
          <w:rFonts w:hint="cs"/>
          <w:rtl/>
        </w:rPr>
        <w:t>הסוגיא</w:t>
      </w:r>
      <w:proofErr w:type="spellEnd"/>
      <w:r>
        <w:rPr>
          <w:rFonts w:hint="cs"/>
          <w:rtl/>
        </w:rPr>
        <w:t xml:space="preserve"> שבאר את סדר המצוות כאן.</w:t>
      </w:r>
    </w:p>
  </w:endnote>
  <w:endnote w:id="4">
    <w:p w:rsidR="00F172E4" w:rsidRDefault="00F172E4" w:rsidP="00F172E4">
      <w:pPr>
        <w:pStyle w:val="a3"/>
        <w:rPr>
          <w:rFonts w:hint="cs"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לשון המהר"ל </w:t>
      </w:r>
      <w:proofErr w:type="spellStart"/>
      <w:r>
        <w:rPr>
          <w:rFonts w:hint="cs"/>
          <w:rtl/>
        </w:rPr>
        <w:t>בחדושי</w:t>
      </w:r>
      <w:proofErr w:type="spellEnd"/>
      <w:r>
        <w:rPr>
          <w:rFonts w:hint="cs"/>
          <w:rtl/>
        </w:rPr>
        <w:t xml:space="preserve"> אגדות שם (</w:t>
      </w:r>
      <w:proofErr w:type="spellStart"/>
      <w:r>
        <w:rPr>
          <w:rFonts w:hint="cs"/>
          <w:rtl/>
        </w:rPr>
        <w:t>ועיי"ש</w:t>
      </w:r>
      <w:proofErr w:type="spellEnd"/>
      <w:r>
        <w:rPr>
          <w:rFonts w:hint="cs"/>
          <w:rtl/>
        </w:rPr>
        <w:t xml:space="preserve"> שמושג ההבדלה ביחס לחלה חוזר שוב ושוב בדבריו).</w:t>
      </w:r>
    </w:p>
  </w:endnote>
  <w:endnote w:id="5">
    <w:p w:rsidR="00F172E4" w:rsidRDefault="00F172E4" w:rsidP="00F172E4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של"ה תורה אור פרשת שלח על תכלית החלה לקיים "וזכרת את הוי' </w:t>
      </w:r>
      <w:proofErr w:type="spellStart"/>
      <w:r>
        <w:rPr>
          <w:rFonts w:hint="cs"/>
          <w:rtl/>
        </w:rPr>
        <w:t>אלהיך</w:t>
      </w:r>
      <w:proofErr w:type="spellEnd"/>
      <w:r>
        <w:rPr>
          <w:rFonts w:hint="cs"/>
          <w:rtl/>
        </w:rPr>
        <w:t xml:space="preserve"> כי הוא </w:t>
      </w:r>
      <w:proofErr w:type="spellStart"/>
      <w:r>
        <w:rPr>
          <w:rFonts w:hint="cs"/>
          <w:rtl/>
        </w:rPr>
        <w:t>הנֹתן</w:t>
      </w:r>
      <w:proofErr w:type="spellEnd"/>
      <w:r>
        <w:rPr>
          <w:rFonts w:hint="cs"/>
          <w:rtl/>
        </w:rPr>
        <w:t xml:space="preserve"> לך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 xml:space="preserve"> לעשות חיל" (דברים ח,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).</w:t>
      </w:r>
    </w:p>
  </w:endnote>
  <w:endnote w:id="6">
    <w:p w:rsidR="00F172E4" w:rsidRDefault="00F172E4" w:rsidP="00F172E4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עפ"י בראשית רבה מו, א. לפי זה, בבקשת חנה "וזכרתני" היא מבקשת שה' יתייחס אליה כזכר ("</w:t>
      </w:r>
      <w:r w:rsidRPr="00685EDC">
        <w:rPr>
          <w:rFonts w:hint="cs"/>
          <w:b/>
          <w:bCs/>
          <w:sz w:val="24"/>
          <w:szCs w:val="24"/>
          <w:rtl/>
        </w:rPr>
        <w:t>וזכרתני</w:t>
      </w:r>
      <w:r>
        <w:rPr>
          <w:rFonts w:hint="cs"/>
          <w:rtl/>
        </w:rPr>
        <w:t xml:space="preserve">" עולה </w:t>
      </w:r>
      <w:r w:rsidRPr="00685EDC">
        <w:rPr>
          <w:rFonts w:hint="cs"/>
          <w:b/>
          <w:bCs/>
          <w:sz w:val="24"/>
          <w:szCs w:val="24"/>
          <w:rtl/>
        </w:rPr>
        <w:t>יא</w:t>
      </w:r>
      <w:r>
        <w:rPr>
          <w:rFonts w:hint="cs"/>
          <w:rtl/>
        </w:rPr>
        <w:t xml:space="preserve"> פעמים </w:t>
      </w:r>
      <w:r w:rsidRPr="00685EDC">
        <w:rPr>
          <w:rFonts w:hint="cs"/>
          <w:b/>
          <w:bCs/>
          <w:sz w:val="24"/>
          <w:szCs w:val="24"/>
          <w:rtl/>
        </w:rPr>
        <w:t>חנה</w:t>
      </w:r>
      <w:r>
        <w:rPr>
          <w:rFonts w:hint="cs"/>
          <w:rtl/>
        </w:rPr>
        <w:t xml:space="preserve">) ו"ואל תשכחני" היינו שלא אהיה בבחינה הנשית של "אתר </w:t>
      </w:r>
      <w:proofErr w:type="spellStart"/>
      <w:r>
        <w:rPr>
          <w:rFonts w:hint="cs"/>
          <w:rtl/>
        </w:rPr>
        <w:t>דנשיו</w:t>
      </w:r>
      <w:proofErr w:type="spellEnd"/>
      <w:r>
        <w:rPr>
          <w:rFonts w:hint="cs"/>
          <w:rtl/>
        </w:rPr>
        <w:t>".</w:t>
      </w:r>
    </w:p>
  </w:endnote>
  <w:endnote w:id="7">
    <w:p w:rsidR="00F172E4" w:rsidRDefault="00F172E4" w:rsidP="00F172E4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קהלת יא, ז.</w:t>
      </w:r>
    </w:p>
  </w:endnote>
  <w:endnote w:id="8">
    <w:p w:rsidR="00F172E4" w:rsidRDefault="00F172E4" w:rsidP="00F172E4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כ, </w:t>
      </w:r>
      <w:proofErr w:type="spellStart"/>
      <w:r>
        <w:rPr>
          <w:rFonts w:hint="cs"/>
          <w:rtl/>
        </w:rPr>
        <w:t>כז</w:t>
      </w:r>
      <w:proofErr w:type="spellEnd"/>
      <w:r>
        <w:rPr>
          <w:rFonts w:hint="cs"/>
          <w:rtl/>
        </w:rPr>
        <w:t>.</w:t>
      </w:r>
    </w:p>
  </w:endnote>
  <w:endnote w:id="9">
    <w:p w:rsidR="00F172E4" w:rsidRDefault="00F172E4" w:rsidP="00F172E4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נדה ל, ב.</w:t>
      </w:r>
    </w:p>
  </w:endnote>
  <w:endnote w:id="10">
    <w:p w:rsidR="00F172E4" w:rsidRDefault="00F172E4" w:rsidP="00F172E4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שבת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>, ב.</w:t>
      </w:r>
    </w:p>
  </w:endnote>
  <w:endnote w:id="11">
    <w:p w:rsidR="00F172E4" w:rsidRDefault="00F172E4" w:rsidP="00F172E4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ברית הנישואין מאמר "ברית המשפחה" במדרגת ההכנעה שבהכנעה.</w:t>
      </w:r>
    </w:p>
  </w:endnote>
  <w:endnote w:id="12">
    <w:p w:rsidR="00F172E4" w:rsidRDefault="00F172E4" w:rsidP="00F172E4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מאירי לברכות שם </w:t>
      </w:r>
      <w:r>
        <w:rPr>
          <w:rtl/>
        </w:rPr>
        <w:t>–</w:t>
      </w:r>
      <w:r>
        <w:rPr>
          <w:rFonts w:hint="cs"/>
          <w:rtl/>
        </w:rPr>
        <w:t xml:space="preserve"> וראה באריכות לעיל בתורה "לחזור לגן עדן".</w:t>
      </w:r>
    </w:p>
  </w:endnote>
  <w:endnote w:id="13">
    <w:p w:rsidR="00F172E4" w:rsidRDefault="00F172E4" w:rsidP="00F172E4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כתובות י, ב. נדה ח, ב; סד, ב.</w:t>
      </w:r>
    </w:p>
  </w:endnote>
  <w:endnote w:id="14">
    <w:p w:rsidR="00F172E4" w:rsidRDefault="00F172E4" w:rsidP="00F172E4">
      <w:pPr>
        <w:pStyle w:val="a3"/>
        <w:rPr>
          <w:rFonts w:hint="cs"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סוד הוי' </w:t>
      </w:r>
      <w:proofErr w:type="spellStart"/>
      <w:r>
        <w:rPr>
          <w:rFonts w:hint="cs"/>
          <w:rtl/>
        </w:rPr>
        <w:t>ליראיו</w:t>
      </w:r>
      <w:proofErr w:type="spellEnd"/>
      <w:r>
        <w:rPr>
          <w:rFonts w:hint="cs"/>
          <w:rtl/>
        </w:rPr>
        <w:t xml:space="preserve"> בהערה שבסוף "תפלה קודם הלימוד" (וביאור הדברים בסוף "שיעורים בסוד הוי' </w:t>
      </w:r>
      <w:proofErr w:type="spellStart"/>
      <w:r>
        <w:rPr>
          <w:rFonts w:hint="cs"/>
          <w:rtl/>
        </w:rPr>
        <w:t>ליראיו</w:t>
      </w:r>
      <w:proofErr w:type="spellEnd"/>
      <w:r>
        <w:rPr>
          <w:rFonts w:hint="cs"/>
          <w:rtl/>
        </w:rPr>
        <w:t xml:space="preserve">"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>) ובכ"ד.</w:t>
      </w:r>
    </w:p>
  </w:endnote>
  <w:endnote w:id="15">
    <w:p w:rsidR="00F172E4" w:rsidRDefault="00F172E4" w:rsidP="00F172E4">
      <w:pPr>
        <w:pStyle w:val="a3"/>
        <w:rPr>
          <w:rFonts w:hint="cs"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א,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.</w:t>
      </w:r>
    </w:p>
  </w:endnote>
  <w:endnote w:id="16">
    <w:p w:rsidR="00F172E4" w:rsidRDefault="00F172E4" w:rsidP="00F172E4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שם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>, לג.</w:t>
      </w:r>
    </w:p>
  </w:endnote>
  <w:endnote w:id="17">
    <w:p w:rsidR="00F172E4" w:rsidRDefault="00F172E4" w:rsidP="00F172E4">
      <w:pPr>
        <w:pStyle w:val="a3"/>
        <w:rPr>
          <w:rFonts w:hint="cs"/>
          <w:rtl/>
        </w:rPr>
      </w:pPr>
      <w:r w:rsidRPr="00DE589F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צירוף אותיות </w:t>
      </w:r>
      <w:r w:rsidRPr="00B301E9">
        <w:rPr>
          <w:rFonts w:hint="cs"/>
          <w:b/>
          <w:bCs/>
          <w:sz w:val="24"/>
          <w:szCs w:val="24"/>
          <w:rtl/>
        </w:rPr>
        <w:t>לי</w:t>
      </w:r>
      <w:r>
        <w:rPr>
          <w:rFonts w:hint="cs"/>
          <w:rtl/>
        </w:rPr>
        <w:t xml:space="preserve"> הוא על דרך חלוקת המלה </w:t>
      </w:r>
      <w:r w:rsidRPr="005C73A9">
        <w:rPr>
          <w:rFonts w:hint="cs"/>
          <w:b/>
          <w:bCs/>
          <w:sz w:val="24"/>
          <w:szCs w:val="24"/>
          <w:rtl/>
        </w:rPr>
        <w:t>ישראל</w:t>
      </w:r>
      <w:r>
        <w:rPr>
          <w:rFonts w:hint="cs"/>
          <w:rtl/>
        </w:rPr>
        <w:t xml:space="preserve"> לצירוף </w:t>
      </w:r>
      <w:r w:rsidRPr="005C73A9">
        <w:rPr>
          <w:rFonts w:hint="cs"/>
          <w:b/>
          <w:bCs/>
          <w:sz w:val="24"/>
          <w:szCs w:val="24"/>
          <w:rtl/>
        </w:rPr>
        <w:t>לי</w:t>
      </w:r>
      <w:r>
        <w:rPr>
          <w:rFonts w:hint="cs"/>
          <w:rtl/>
        </w:rPr>
        <w:t>-</w:t>
      </w:r>
      <w:r w:rsidRPr="005C73A9">
        <w:rPr>
          <w:rFonts w:hint="cs"/>
          <w:b/>
          <w:bCs/>
          <w:sz w:val="24"/>
          <w:szCs w:val="24"/>
          <w:rtl/>
        </w:rPr>
        <w:t>ראש</w:t>
      </w:r>
      <w:r>
        <w:rPr>
          <w:rFonts w:hint="cs"/>
          <w:rtl/>
        </w:rPr>
        <w:t xml:space="preserve"> (בצירוף ה-</w:t>
      </w:r>
      <w:r w:rsidRPr="005C73A9">
        <w:rPr>
          <w:rFonts w:hint="cs"/>
          <w:b/>
          <w:bCs/>
          <w:sz w:val="24"/>
          <w:szCs w:val="24"/>
          <w:rtl/>
        </w:rPr>
        <w:t>לי</w:t>
      </w:r>
      <w:r>
        <w:rPr>
          <w:rFonts w:hint="cs"/>
          <w:rtl/>
        </w:rPr>
        <w:t xml:space="preserve"> ל-</w:t>
      </w:r>
      <w:r w:rsidRPr="005C73A9">
        <w:rPr>
          <w:rFonts w:hint="cs"/>
          <w:b/>
          <w:bCs/>
          <w:sz w:val="24"/>
          <w:szCs w:val="24"/>
          <w:rtl/>
        </w:rPr>
        <w:t>מ</w:t>
      </w:r>
      <w:r>
        <w:rPr>
          <w:rFonts w:hint="cs"/>
          <w:rtl/>
        </w:rPr>
        <w:t xml:space="preserve"> הוא בסוד "</w:t>
      </w:r>
      <w:r w:rsidRPr="005C73A9">
        <w:rPr>
          <w:rFonts w:hint="cs"/>
          <w:b/>
          <w:bCs/>
          <w:sz w:val="24"/>
          <w:szCs w:val="24"/>
          <w:rtl/>
        </w:rPr>
        <w:t>מאשר</w:t>
      </w:r>
      <w:r>
        <w:rPr>
          <w:rFonts w:hint="cs"/>
          <w:rtl/>
        </w:rPr>
        <w:t xml:space="preserve"> שמנה לחמו", הרומז גם ל"לחם אשר הוא אוכל").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7DF" w:rsidRDefault="006347DF" w:rsidP="00F172E4">
      <w:pPr>
        <w:spacing w:after="0" w:line="240" w:lineRule="auto"/>
      </w:pPr>
      <w:r>
        <w:separator/>
      </w:r>
    </w:p>
  </w:footnote>
  <w:footnote w:type="continuationSeparator" w:id="0">
    <w:p w:rsidR="006347DF" w:rsidRDefault="006347DF" w:rsidP="00F172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B9"/>
    <w:rsid w:val="00061E65"/>
    <w:rsid w:val="006347DF"/>
    <w:rsid w:val="006861B9"/>
    <w:rsid w:val="00AC2310"/>
    <w:rsid w:val="00F1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F172E4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סיום תו"/>
    <w:basedOn w:val="a0"/>
    <w:link w:val="a3"/>
    <w:uiPriority w:val="99"/>
    <w:semiHidden/>
    <w:rsid w:val="00F172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F172E4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סיום תו"/>
    <w:basedOn w:val="a0"/>
    <w:link w:val="a3"/>
    <w:uiPriority w:val="99"/>
    <w:semiHidden/>
    <w:rsid w:val="00F172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2095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2017-08-16T11:24:00Z</dcterms:created>
  <dcterms:modified xsi:type="dcterms:W3CDTF">2017-08-16T11:25:00Z</dcterms:modified>
</cp:coreProperties>
</file>