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3D" w:rsidRDefault="0030453D" w:rsidP="0030453D">
      <w:pPr>
        <w:pStyle w:val="2"/>
        <w:spacing w:before="720" w:after="480"/>
        <w:rPr>
          <w:rFonts w:hint="cs"/>
          <w:rtl/>
        </w:rPr>
      </w:pPr>
      <w:bookmarkStart w:id="0" w:name="_GoBack"/>
      <w:r>
        <w:rPr>
          <w:rFonts w:hint="cs"/>
          <w:rtl/>
        </w:rPr>
        <w:t>תורת בנות ישראל</w:t>
      </w:r>
    </w:p>
    <w:bookmarkEnd w:id="0"/>
    <w:p w:rsidR="0030453D" w:rsidRDefault="0030453D" w:rsidP="0030453D">
      <w:pPr>
        <w:pStyle w:val="a7"/>
        <w:framePr w:wrap="around"/>
        <w:rPr>
          <w:rFonts w:hint="cs"/>
          <w:rtl/>
          <w:lang w:eastAsia="en-US"/>
        </w:rPr>
      </w:pPr>
      <w:r>
        <w:rPr>
          <w:rFonts w:hint="cs"/>
          <w:rtl/>
          <w:lang w:eastAsia="en-US"/>
        </w:rPr>
        <w:t>ה</w:t>
      </w:r>
    </w:p>
    <w:p w:rsidR="0030453D" w:rsidRDefault="0030453D" w:rsidP="0030453D">
      <w:pPr>
        <w:rPr>
          <w:rFonts w:hint="cs"/>
          <w:rtl/>
        </w:rPr>
      </w:pPr>
      <w:r>
        <w:rPr>
          <w:rFonts w:hint="cs"/>
          <w:rtl/>
          <w:lang w:eastAsia="en-US"/>
        </w:rPr>
        <w:t>דין ש</w:t>
      </w:r>
      <w:r>
        <w:rPr>
          <w:rFonts w:hint="cs"/>
          <w:rtl/>
        </w:rPr>
        <w:t>"בנות ישראל החמירו על עצמן שאפילו רואות טיפת דם כחרדל יושבת עליה שבעה נקיים"</w:t>
      </w:r>
      <w:r>
        <w:rPr>
          <w:rFonts w:hint="cs"/>
          <w:rtl/>
          <w:lang w:eastAsia="en-US"/>
        </w:rPr>
        <w:t xml:space="preserve"> מופיע במסכת ברכות ובמסכת נדה</w:t>
      </w:r>
      <w:r>
        <w:rPr>
          <w:rStyle w:val="a5"/>
          <w:rtl/>
          <w:lang w:eastAsia="en-US"/>
        </w:rPr>
        <w:endnoteReference w:id="1"/>
      </w:r>
      <w:r>
        <w:rPr>
          <w:rFonts w:hint="cs"/>
          <w:rtl/>
          <w:lang w:eastAsia="en-US"/>
        </w:rPr>
        <w:t xml:space="preserve"> </w:t>
      </w:r>
      <w:r>
        <w:rPr>
          <w:rtl/>
          <w:lang w:eastAsia="en-US"/>
        </w:rPr>
        <w:t>–</w:t>
      </w:r>
      <w:r>
        <w:rPr>
          <w:rFonts w:hint="cs"/>
          <w:rtl/>
          <w:lang w:eastAsia="en-US"/>
        </w:rPr>
        <w:t xml:space="preserve"> המסכת הראשונה והמסכת אחרונה בגמרא </w:t>
      </w:r>
      <w:r>
        <w:rPr>
          <w:rtl/>
          <w:lang w:eastAsia="en-US"/>
        </w:rPr>
        <w:t>–</w:t>
      </w:r>
      <w:r>
        <w:rPr>
          <w:rFonts w:hint="cs"/>
          <w:rtl/>
          <w:lang w:eastAsia="en-US"/>
        </w:rPr>
        <w:t xml:space="preserve"> רמז לכך שהיא כוללת את כל התורה שבעל פה מתחלה ועד סוף (ו"נעוץ סופן </w:t>
      </w:r>
      <w:proofErr w:type="spellStart"/>
      <w:r>
        <w:rPr>
          <w:rFonts w:hint="cs"/>
          <w:rtl/>
          <w:lang w:eastAsia="en-US"/>
        </w:rPr>
        <w:t>בתחלתן</w:t>
      </w:r>
      <w:proofErr w:type="spellEnd"/>
      <w:r>
        <w:rPr>
          <w:rFonts w:hint="cs"/>
          <w:rtl/>
          <w:lang w:eastAsia="en-US"/>
        </w:rPr>
        <w:t xml:space="preserve"> </w:t>
      </w:r>
      <w:proofErr w:type="spellStart"/>
      <w:r>
        <w:rPr>
          <w:rFonts w:hint="cs"/>
          <w:rtl/>
          <w:lang w:eastAsia="en-US"/>
        </w:rPr>
        <w:t>ותחלתן</w:t>
      </w:r>
      <w:proofErr w:type="spellEnd"/>
      <w:r>
        <w:rPr>
          <w:rFonts w:hint="cs"/>
          <w:rtl/>
          <w:lang w:eastAsia="en-US"/>
        </w:rPr>
        <w:t xml:space="preserve"> בסופן"</w:t>
      </w:r>
      <w:r>
        <w:rPr>
          <w:rStyle w:val="a5"/>
          <w:rtl/>
          <w:lang w:eastAsia="en-US"/>
        </w:rPr>
        <w:endnoteReference w:id="2"/>
      </w:r>
      <w:r>
        <w:rPr>
          <w:rFonts w:hint="cs"/>
          <w:rtl/>
          <w:lang w:eastAsia="en-US"/>
        </w:rPr>
        <w:t xml:space="preserve">). ואכן, </w:t>
      </w:r>
      <w:r>
        <w:rPr>
          <w:rFonts w:hint="cs"/>
          <w:rtl/>
        </w:rPr>
        <w:t xml:space="preserve">תורה שבעל פה בכלל היא תורה נשית </w:t>
      </w:r>
      <w:r>
        <w:rPr>
          <w:rtl/>
        </w:rPr>
        <w:t>–</w:t>
      </w:r>
      <w:r>
        <w:rPr>
          <w:rFonts w:hint="cs"/>
          <w:rtl/>
        </w:rPr>
        <w:t xml:space="preserve"> "מוסר אמך"</w:t>
      </w:r>
      <w:r>
        <w:rPr>
          <w:rStyle w:val="a5"/>
          <w:rtl/>
        </w:rPr>
        <w:endnoteReference w:id="3"/>
      </w:r>
      <w:r>
        <w:rPr>
          <w:rFonts w:hint="cs"/>
          <w:rtl/>
        </w:rPr>
        <w:t xml:space="preserve"> ו"מלכות פה, תורה שבעל פה קרינן לה"</w:t>
      </w:r>
      <w:r>
        <w:rPr>
          <w:rStyle w:val="a5"/>
          <w:rtl/>
        </w:rPr>
        <w:endnoteReference w:id="4"/>
      </w:r>
      <w:r>
        <w:rPr>
          <w:rFonts w:hint="cs"/>
          <w:rtl/>
        </w:rPr>
        <w:t xml:space="preserve"> </w:t>
      </w:r>
      <w:r>
        <w:rPr>
          <w:rtl/>
        </w:rPr>
        <w:t>–</w:t>
      </w:r>
      <w:r>
        <w:rPr>
          <w:rFonts w:hint="cs"/>
          <w:rtl/>
        </w:rPr>
        <w:t xml:space="preserve"> הנובעת מתוך "כנסת ישראל" בכלל ו"בנות ישראל" בפרט (ואילו </w:t>
      </w:r>
      <w:proofErr w:type="spellStart"/>
      <w:r>
        <w:rPr>
          <w:rFonts w:hint="cs"/>
          <w:rtl/>
        </w:rPr>
        <w:t>הנטיה</w:t>
      </w:r>
      <w:proofErr w:type="spellEnd"/>
      <w:r>
        <w:rPr>
          <w:rFonts w:hint="cs"/>
          <w:rtl/>
        </w:rPr>
        <w:t xml:space="preserve"> </w:t>
      </w:r>
      <w:proofErr w:type="spellStart"/>
      <w:r>
        <w:rPr>
          <w:rFonts w:hint="cs"/>
          <w:rtl/>
        </w:rPr>
        <w:t>הצדוקית</w:t>
      </w:r>
      <w:proofErr w:type="spellEnd"/>
      <w:r>
        <w:rPr>
          <w:rFonts w:hint="cs"/>
          <w:rtl/>
        </w:rPr>
        <w:t xml:space="preserve">-קראית להחזיר את הדברים ל'דין המקורי' </w:t>
      </w:r>
      <w:r>
        <w:rPr>
          <w:rtl/>
        </w:rPr>
        <w:t>–</w:t>
      </w:r>
      <w:r>
        <w:rPr>
          <w:rFonts w:hint="cs"/>
          <w:rtl/>
        </w:rPr>
        <w:t xml:space="preserve"> החוזרת בכל דור בלבוש אחר </w:t>
      </w:r>
      <w:r>
        <w:rPr>
          <w:rtl/>
        </w:rPr>
        <w:t>–</w:t>
      </w:r>
      <w:r>
        <w:rPr>
          <w:rFonts w:hint="cs"/>
          <w:rtl/>
        </w:rPr>
        <w:t xml:space="preserve"> גורמת חלילה להפרדה בין הדבקים, בין הדוד העליון לכנסת ישראל</w:t>
      </w:r>
      <w:r>
        <w:rPr>
          <w:rStyle w:val="a5"/>
          <w:rtl/>
        </w:rPr>
        <w:endnoteReference w:id="5"/>
      </w:r>
      <w:r>
        <w:rPr>
          <w:rFonts w:hint="cs"/>
          <w:rtl/>
        </w:rPr>
        <w:t>).</w:t>
      </w:r>
    </w:p>
    <w:p w:rsidR="0030453D" w:rsidRDefault="0030453D" w:rsidP="0030453D">
      <w:pPr>
        <w:widowControl w:val="0"/>
        <w:rPr>
          <w:rFonts w:hint="cs"/>
          <w:rtl/>
        </w:rPr>
      </w:pPr>
      <w:r>
        <w:rPr>
          <w:rFonts w:hint="cs"/>
          <w:rtl/>
        </w:rPr>
        <w:t>הדעת הנשית באה לידי ביטוי מיוחד בסייגים ובהידורים של הלכות הטהרה, כדרשת חז"ל על הפסוק "והיה אמונת עתיך חֹסן ישועֹת חכמת ודעת יראת הוי' היא אוצרו"</w:t>
      </w:r>
      <w:r>
        <w:rPr>
          <w:rStyle w:val="a5"/>
          <w:rtl/>
        </w:rPr>
        <w:endnoteReference w:id="6"/>
      </w:r>
      <w:r>
        <w:rPr>
          <w:rFonts w:hint="cs"/>
          <w:rtl/>
        </w:rPr>
        <w:t xml:space="preserve"> כי "'ודעת' זה סדר טהרות"</w:t>
      </w:r>
      <w:r>
        <w:rPr>
          <w:rStyle w:val="a5"/>
          <w:rtl/>
        </w:rPr>
        <w:endnoteReference w:id="7"/>
      </w:r>
      <w:r>
        <w:rPr>
          <w:rFonts w:hint="cs"/>
          <w:rtl/>
        </w:rPr>
        <w:t xml:space="preserve">. בזמננו עיקר מה שנותר מסדר טהרות הוא מסכת נדה והלכות טהרת </w:t>
      </w:r>
      <w:proofErr w:type="spellStart"/>
      <w:r>
        <w:rPr>
          <w:rFonts w:hint="cs"/>
          <w:rtl/>
        </w:rPr>
        <w:t>אשה</w:t>
      </w:r>
      <w:proofErr w:type="spellEnd"/>
      <w:r>
        <w:rPr>
          <w:rFonts w:hint="cs"/>
          <w:rtl/>
        </w:rPr>
        <w:t xml:space="preserve"> לבעלה. עוד נדרש על סדר טהרות </w:t>
      </w:r>
      <w:r>
        <w:rPr>
          <w:rtl/>
        </w:rPr>
        <w:t>–</w:t>
      </w:r>
      <w:r>
        <w:rPr>
          <w:rFonts w:hint="cs"/>
          <w:rtl/>
        </w:rPr>
        <w:t xml:space="preserve"> "'יראת הוי' טהורה' זה סדר טהרות"</w:t>
      </w:r>
      <w:r>
        <w:rPr>
          <w:rStyle w:val="a5"/>
          <w:rtl/>
        </w:rPr>
        <w:endnoteReference w:id="8"/>
      </w:r>
      <w:r>
        <w:rPr>
          <w:rFonts w:hint="cs"/>
          <w:rtl/>
        </w:rPr>
        <w:t>, ללמד כי הדעת בלימוד סדר טהרות חדורה יראת ה' אמתית, "יראת הוי' ראשית דעת"</w:t>
      </w:r>
      <w:r>
        <w:rPr>
          <w:rStyle w:val="a5"/>
          <w:rtl/>
        </w:rPr>
        <w:endnoteReference w:id="9"/>
      </w:r>
      <w:r>
        <w:rPr>
          <w:rFonts w:hint="cs"/>
          <w:rtl/>
        </w:rPr>
        <w:t>, ובפרטות מתגלה דעת זו אצל "</w:t>
      </w:r>
      <w:proofErr w:type="spellStart"/>
      <w:r>
        <w:rPr>
          <w:rFonts w:hint="cs"/>
          <w:rtl/>
        </w:rPr>
        <w:t>אשה</w:t>
      </w:r>
      <w:proofErr w:type="spellEnd"/>
      <w:r>
        <w:rPr>
          <w:rFonts w:hint="cs"/>
          <w:rtl/>
        </w:rPr>
        <w:t xml:space="preserve"> יראת הוי'"</w:t>
      </w:r>
      <w:r>
        <w:rPr>
          <w:rStyle w:val="a5"/>
          <w:rtl/>
        </w:rPr>
        <w:endnoteReference w:id="10"/>
      </w:r>
      <w:r>
        <w:rPr>
          <w:rFonts w:hint="cs"/>
          <w:rtl/>
        </w:rPr>
        <w:t xml:space="preserve">. חומרת בנות ישראל באה מתוך הדעת האמתית </w:t>
      </w:r>
      <w:r>
        <w:rPr>
          <w:rtl/>
        </w:rPr>
        <w:t>–</w:t>
      </w:r>
      <w:r>
        <w:rPr>
          <w:rFonts w:hint="cs"/>
          <w:rtl/>
        </w:rPr>
        <w:t xml:space="preserve"> "רוח הקדש"</w:t>
      </w:r>
      <w:r>
        <w:rPr>
          <w:rStyle w:val="a5"/>
          <w:rtl/>
        </w:rPr>
        <w:endnoteReference w:id="11"/>
      </w:r>
      <w:r>
        <w:rPr>
          <w:rFonts w:hint="cs"/>
          <w:rtl/>
        </w:rPr>
        <w:t xml:space="preserve"> </w:t>
      </w:r>
      <w:r>
        <w:rPr>
          <w:rtl/>
        </w:rPr>
        <w:t>–</w:t>
      </w:r>
      <w:r>
        <w:rPr>
          <w:rFonts w:hint="cs"/>
          <w:rtl/>
        </w:rPr>
        <w:t xml:space="preserve"> כי לשלמות האהבה בין איש ואשתו ("והאדם ידע את חוה אשתו"</w:t>
      </w:r>
      <w:r>
        <w:rPr>
          <w:rStyle w:val="a5"/>
          <w:rtl/>
        </w:rPr>
        <w:endnoteReference w:id="12"/>
      </w:r>
      <w:r>
        <w:rPr>
          <w:rFonts w:hint="cs"/>
          <w:rtl/>
        </w:rPr>
        <w:t xml:space="preserve">) נדרשת </w:t>
      </w:r>
      <w:proofErr w:type="spellStart"/>
      <w:r>
        <w:rPr>
          <w:rFonts w:hint="cs"/>
          <w:rtl/>
        </w:rPr>
        <w:t>בדווקא</w:t>
      </w:r>
      <w:proofErr w:type="spellEnd"/>
      <w:r>
        <w:rPr>
          <w:rFonts w:hint="cs"/>
          <w:rtl/>
        </w:rPr>
        <w:t xml:space="preserve"> תקופת התיקון של שבעה נקיים על כל </w:t>
      </w:r>
      <w:proofErr w:type="spellStart"/>
      <w:r>
        <w:rPr>
          <w:rFonts w:hint="cs"/>
          <w:rtl/>
        </w:rPr>
        <w:t>טפת</w:t>
      </w:r>
      <w:proofErr w:type="spellEnd"/>
      <w:r>
        <w:rPr>
          <w:rFonts w:hint="cs"/>
          <w:rtl/>
        </w:rPr>
        <w:t xml:space="preserve"> דם.</w:t>
      </w:r>
    </w:p>
    <w:p w:rsidR="0030453D" w:rsidRPr="00C4790E" w:rsidRDefault="0030453D" w:rsidP="0030453D">
      <w:pPr>
        <w:rPr>
          <w:rFonts w:hint="cs"/>
          <w:rtl/>
          <w:lang w:eastAsia="en-US"/>
        </w:rPr>
      </w:pPr>
      <w:r>
        <w:rPr>
          <w:rFonts w:hint="cs"/>
          <w:rtl/>
          <w:lang w:eastAsia="en-US"/>
        </w:rPr>
        <w:t xml:space="preserve">נושא </w:t>
      </w:r>
      <w:proofErr w:type="spellStart"/>
      <w:r>
        <w:rPr>
          <w:rFonts w:hint="cs"/>
          <w:rtl/>
          <w:lang w:eastAsia="en-US"/>
        </w:rPr>
        <w:t>הסוגיא</w:t>
      </w:r>
      <w:proofErr w:type="spellEnd"/>
      <w:r>
        <w:rPr>
          <w:rFonts w:hint="cs"/>
          <w:rtl/>
          <w:lang w:eastAsia="en-US"/>
        </w:rPr>
        <w:t xml:space="preserve"> במסכת ברכות הוא הדין שיש לעמוד להתפלל מתוך "הלכה פסוקה" </w:t>
      </w:r>
      <w:r>
        <w:rPr>
          <w:rtl/>
          <w:lang w:eastAsia="en-US"/>
        </w:rPr>
        <w:t>–</w:t>
      </w:r>
      <w:r>
        <w:rPr>
          <w:rFonts w:hint="cs"/>
          <w:rtl/>
          <w:lang w:eastAsia="en-US"/>
        </w:rPr>
        <w:t xml:space="preserve"> "שאינה צריכה עיון, שלא יהא מהרהר בה בתפלתו"</w:t>
      </w:r>
      <w:bookmarkStart w:id="1" w:name="_Ref374029650"/>
      <w:r>
        <w:rPr>
          <w:rStyle w:val="a5"/>
          <w:rtl/>
          <w:lang w:eastAsia="en-US"/>
        </w:rPr>
        <w:endnoteReference w:id="13"/>
      </w:r>
      <w:bookmarkEnd w:id="1"/>
      <w:r>
        <w:rPr>
          <w:rFonts w:hint="cs"/>
          <w:rtl/>
          <w:lang w:eastAsia="en-US"/>
        </w:rPr>
        <w:t>. "חומרת בנות ישראל" מובאת שם כדוגמה הראשונה ל"הלכה פסוקה", אחת מאותן "</w:t>
      </w:r>
      <w:r w:rsidRPr="00C4790E">
        <w:rPr>
          <w:rtl/>
          <w:lang w:eastAsia="en-US"/>
        </w:rPr>
        <w:t>הלכות פסוקות שאין עליהן קושי</w:t>
      </w:r>
      <w:r>
        <w:rPr>
          <w:rtl/>
          <w:lang w:eastAsia="en-US"/>
        </w:rPr>
        <w:t>ות ותירוצים שיהא צריך להרהר בהן</w:t>
      </w:r>
      <w:r>
        <w:rPr>
          <w:rFonts w:hint="cs"/>
          <w:rtl/>
          <w:lang w:eastAsia="en-US"/>
        </w:rPr>
        <w:t>"</w:t>
      </w:r>
      <w:r>
        <w:rPr>
          <w:rStyle w:val="a5"/>
          <w:rtl/>
          <w:lang w:eastAsia="en-US"/>
        </w:rPr>
        <w:endnoteReference w:id="14"/>
      </w:r>
      <w:r>
        <w:rPr>
          <w:rFonts w:hint="cs"/>
          <w:rtl/>
          <w:lang w:eastAsia="en-US"/>
        </w:rPr>
        <w:t>. הלכה זו, שאין עליה קושיות ותירוצים ואין צורך להרהר בה, נובעת מהמודעות הטבעית</w:t>
      </w:r>
      <w:r>
        <w:rPr>
          <w:rStyle w:val="a5"/>
          <w:rtl/>
          <w:lang w:eastAsia="en-US"/>
        </w:rPr>
        <w:endnoteReference w:id="15"/>
      </w:r>
      <w:r>
        <w:rPr>
          <w:rFonts w:hint="cs"/>
          <w:rtl/>
          <w:lang w:eastAsia="en-US"/>
        </w:rPr>
        <w:t xml:space="preserve"> (שהיא-היא רוח הקדש הטבעית) של בנות ישראל. </w:t>
      </w:r>
      <w:proofErr w:type="spellStart"/>
      <w:r>
        <w:rPr>
          <w:rFonts w:hint="cs"/>
          <w:rtl/>
          <w:lang w:eastAsia="en-US"/>
        </w:rPr>
        <w:t>ככזו</w:t>
      </w:r>
      <w:proofErr w:type="spellEnd"/>
      <w:r>
        <w:rPr>
          <w:rFonts w:hint="cs"/>
          <w:rtl/>
          <w:lang w:eastAsia="en-US"/>
        </w:rPr>
        <w:t xml:space="preserve">, הלכה זו היא כבר </w:t>
      </w:r>
      <w:proofErr w:type="spellStart"/>
      <w:r>
        <w:rPr>
          <w:rFonts w:hint="cs"/>
          <w:rtl/>
          <w:lang w:eastAsia="en-US"/>
        </w:rPr>
        <w:t>תחלתה</w:t>
      </w:r>
      <w:proofErr w:type="spellEnd"/>
      <w:r>
        <w:rPr>
          <w:rFonts w:hint="cs"/>
          <w:rtl/>
          <w:lang w:eastAsia="en-US"/>
        </w:rPr>
        <w:t xml:space="preserve"> של תורת משיח שאין בה קושיות </w:t>
      </w:r>
      <w:r>
        <w:rPr>
          <w:rtl/>
          <w:lang w:eastAsia="en-US"/>
        </w:rPr>
        <w:t>–</w:t>
      </w:r>
      <w:r>
        <w:rPr>
          <w:rFonts w:hint="cs"/>
          <w:rtl/>
          <w:lang w:eastAsia="en-US"/>
        </w:rPr>
        <w:t xml:space="preserve"> "דלית תמן לא </w:t>
      </w:r>
      <w:proofErr w:type="spellStart"/>
      <w:r>
        <w:rPr>
          <w:rFonts w:hint="cs"/>
          <w:rtl/>
          <w:lang w:eastAsia="en-US"/>
        </w:rPr>
        <w:t>קשיא</w:t>
      </w:r>
      <w:proofErr w:type="spellEnd"/>
      <w:r>
        <w:rPr>
          <w:rFonts w:hint="cs"/>
          <w:rtl/>
          <w:lang w:eastAsia="en-US"/>
        </w:rPr>
        <w:t xml:space="preserve"> </w:t>
      </w:r>
      <w:proofErr w:type="spellStart"/>
      <w:r>
        <w:rPr>
          <w:rFonts w:hint="cs"/>
          <w:rtl/>
          <w:lang w:eastAsia="en-US"/>
        </w:rPr>
        <w:t>מסטרא</w:t>
      </w:r>
      <w:proofErr w:type="spellEnd"/>
      <w:r>
        <w:rPr>
          <w:rFonts w:hint="cs"/>
          <w:rtl/>
          <w:lang w:eastAsia="en-US"/>
        </w:rPr>
        <w:t xml:space="preserve"> </w:t>
      </w:r>
      <w:proofErr w:type="spellStart"/>
      <w:r>
        <w:rPr>
          <w:rFonts w:hint="cs"/>
          <w:rtl/>
          <w:lang w:eastAsia="en-US"/>
        </w:rPr>
        <w:t>דרע</w:t>
      </w:r>
      <w:proofErr w:type="spellEnd"/>
      <w:r>
        <w:rPr>
          <w:rFonts w:hint="cs"/>
          <w:rtl/>
          <w:lang w:eastAsia="en-US"/>
        </w:rPr>
        <w:t xml:space="preserve"> [שהוא פגם הברית] ולא מחלוקת מרוח הטומאה"</w:t>
      </w:r>
      <w:r>
        <w:rPr>
          <w:rStyle w:val="a5"/>
          <w:rtl/>
          <w:lang w:eastAsia="en-US"/>
        </w:rPr>
        <w:endnoteReference w:id="16"/>
      </w:r>
      <w:r>
        <w:rPr>
          <w:rFonts w:hint="cs"/>
          <w:rtl/>
          <w:lang w:eastAsia="en-US"/>
        </w:rPr>
        <w:t>.</w:t>
      </w:r>
    </w:p>
    <w:p w:rsidR="0030453D" w:rsidRDefault="0030453D" w:rsidP="0030453D">
      <w:pPr>
        <w:widowControl w:val="0"/>
        <w:rPr>
          <w:rFonts w:hint="cs"/>
          <w:rtl/>
        </w:rPr>
      </w:pPr>
      <w:r>
        <w:rPr>
          <w:rFonts w:hint="cs"/>
          <w:rtl/>
          <w:lang w:eastAsia="en-US"/>
        </w:rPr>
        <w:t xml:space="preserve">משיח בן דוד מנצח את אויבי ישראל המפרידים בין כנסת ישראל לדודה (ובכך "מטהר </w:t>
      </w:r>
      <w:proofErr w:type="spellStart"/>
      <w:r>
        <w:rPr>
          <w:rFonts w:hint="cs"/>
          <w:rtl/>
          <w:lang w:eastAsia="en-US"/>
        </w:rPr>
        <w:t>אשה</w:t>
      </w:r>
      <w:proofErr w:type="spellEnd"/>
      <w:r>
        <w:rPr>
          <w:rFonts w:hint="cs"/>
          <w:rtl/>
          <w:lang w:eastAsia="en-US"/>
        </w:rPr>
        <w:t xml:space="preserve"> לבעלה"</w:t>
      </w:r>
      <w:r>
        <w:rPr>
          <w:rStyle w:val="a5"/>
          <w:rtl/>
          <w:lang w:eastAsia="en-US"/>
        </w:rPr>
        <w:endnoteReference w:id="17"/>
      </w:r>
      <w:r>
        <w:rPr>
          <w:rFonts w:hint="cs"/>
          <w:rtl/>
          <w:lang w:eastAsia="en-US"/>
        </w:rPr>
        <w:t xml:space="preserve">) </w:t>
      </w:r>
      <w:proofErr w:type="spellStart"/>
      <w:r>
        <w:rPr>
          <w:rFonts w:hint="cs"/>
          <w:rtl/>
          <w:lang w:eastAsia="en-US"/>
        </w:rPr>
        <w:t>בכח</w:t>
      </w:r>
      <w:proofErr w:type="spellEnd"/>
      <w:r>
        <w:rPr>
          <w:rFonts w:hint="cs"/>
          <w:rtl/>
          <w:lang w:eastAsia="en-US"/>
        </w:rPr>
        <w:t xml:space="preserve"> תפלתו, </w:t>
      </w:r>
      <w:r>
        <w:rPr>
          <w:rFonts w:hint="cs"/>
          <w:rtl/>
          <w:lang w:eastAsia="en-US"/>
        </w:rPr>
        <w:lastRenderedPageBreak/>
        <w:t xml:space="preserve">כאשר התפלה עצמה מקבלת </w:t>
      </w:r>
      <w:proofErr w:type="spellStart"/>
      <w:r>
        <w:rPr>
          <w:rFonts w:hint="cs"/>
          <w:rtl/>
          <w:lang w:eastAsia="en-US"/>
        </w:rPr>
        <w:t>כח</w:t>
      </w:r>
      <w:proofErr w:type="spellEnd"/>
      <w:r>
        <w:rPr>
          <w:rFonts w:hint="cs"/>
          <w:rtl/>
          <w:lang w:eastAsia="en-US"/>
        </w:rPr>
        <w:t xml:space="preserve"> מ"הלכה פסוקה" זו שמתוכה עומדים להתפלל</w:t>
      </w:r>
      <w:r>
        <w:rPr>
          <w:rStyle w:val="a5"/>
          <w:rtl/>
          <w:lang w:eastAsia="en-US"/>
        </w:rPr>
        <w:endnoteReference w:id="18"/>
      </w:r>
      <w:r>
        <w:rPr>
          <w:rFonts w:hint="cs"/>
          <w:rtl/>
          <w:lang w:eastAsia="en-US"/>
        </w:rPr>
        <w:t xml:space="preserve">. ואכן, ענין הנקיות המתבטא בחומרת בנות ישראל שייך בפרט לגאולה האחרונה: </w:t>
      </w:r>
      <w:r>
        <w:rPr>
          <w:rFonts w:hint="cs"/>
          <w:rtl/>
        </w:rPr>
        <w:t xml:space="preserve">סיום וחותם </w:t>
      </w:r>
      <w:proofErr w:type="spellStart"/>
      <w:r w:rsidRPr="002206B3">
        <w:rPr>
          <w:rFonts w:hint="cs"/>
          <w:b/>
          <w:bCs/>
          <w:sz w:val="28"/>
          <w:szCs w:val="27"/>
          <w:rtl/>
        </w:rPr>
        <w:t>יג</w:t>
      </w:r>
      <w:proofErr w:type="spellEnd"/>
      <w:r>
        <w:rPr>
          <w:rFonts w:hint="cs"/>
          <w:rtl/>
        </w:rPr>
        <w:t xml:space="preserve"> מדות הרחמים הוא "ונקה", ודרשו חז"ל "'ונקה' לשבים". דור הגאולה, דור של תשובה, חש במיוחד את מעלת עבודת הנקיות מתוך תשובה, הבאה לידי ביטוי בשבעה נקיים (בארמית "שב" הוא קיצור של שבע </w:t>
      </w:r>
      <w:r>
        <w:rPr>
          <w:rtl/>
        </w:rPr>
        <w:t>–</w:t>
      </w:r>
      <w:r>
        <w:rPr>
          <w:rFonts w:hint="cs"/>
          <w:rtl/>
        </w:rPr>
        <w:t xml:space="preserve"> "'ו</w:t>
      </w:r>
      <w:r w:rsidRPr="002206B3">
        <w:rPr>
          <w:rFonts w:hint="cs"/>
          <w:b/>
          <w:bCs/>
          <w:sz w:val="28"/>
          <w:szCs w:val="27"/>
          <w:rtl/>
        </w:rPr>
        <w:t>נק</w:t>
      </w:r>
      <w:r>
        <w:rPr>
          <w:rFonts w:hint="cs"/>
          <w:rtl/>
        </w:rPr>
        <w:t>ה' ל</w:t>
      </w:r>
      <w:r w:rsidRPr="002206B3">
        <w:rPr>
          <w:rFonts w:hint="cs"/>
          <w:b/>
          <w:bCs/>
          <w:sz w:val="28"/>
          <w:szCs w:val="27"/>
          <w:rtl/>
        </w:rPr>
        <w:t>שב</w:t>
      </w:r>
      <w:r>
        <w:rPr>
          <w:rFonts w:hint="cs"/>
          <w:rtl/>
        </w:rPr>
        <w:t>ים" רומז ל"</w:t>
      </w:r>
      <w:r w:rsidRPr="002206B3">
        <w:rPr>
          <w:rFonts w:hint="cs"/>
          <w:b/>
          <w:bCs/>
          <w:sz w:val="28"/>
          <w:szCs w:val="27"/>
          <w:rtl/>
        </w:rPr>
        <w:t>שב</w:t>
      </w:r>
      <w:r>
        <w:rPr>
          <w:rFonts w:hint="cs"/>
          <w:rtl/>
        </w:rPr>
        <w:t xml:space="preserve">עה </w:t>
      </w:r>
      <w:r w:rsidRPr="002206B3">
        <w:rPr>
          <w:rFonts w:hint="cs"/>
          <w:b/>
          <w:bCs/>
          <w:sz w:val="28"/>
          <w:szCs w:val="27"/>
          <w:rtl/>
        </w:rPr>
        <w:t>נק</w:t>
      </w:r>
      <w:r>
        <w:rPr>
          <w:rFonts w:hint="cs"/>
          <w:rtl/>
        </w:rPr>
        <w:t xml:space="preserve">יים"), "וכבר הבטיחה תורה שסוף ישראל לעשות תשובה בסוף גלותן ומיד הן </w:t>
      </w:r>
      <w:proofErr w:type="spellStart"/>
      <w:r>
        <w:rPr>
          <w:rFonts w:hint="cs"/>
          <w:rtl/>
        </w:rPr>
        <w:t>נגאלין</w:t>
      </w:r>
      <w:proofErr w:type="spellEnd"/>
      <w:r>
        <w:rPr>
          <w:rFonts w:hint="cs"/>
          <w:rtl/>
        </w:rPr>
        <w:t>"!</w:t>
      </w:r>
    </w:p>
    <w:p w:rsidR="005F4A47" w:rsidRDefault="00ED3FED"/>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FED" w:rsidRDefault="00ED3FED" w:rsidP="0030453D">
      <w:pPr>
        <w:spacing w:after="0" w:line="240" w:lineRule="auto"/>
      </w:pPr>
      <w:r>
        <w:separator/>
      </w:r>
    </w:p>
  </w:endnote>
  <w:endnote w:type="continuationSeparator" w:id="0">
    <w:p w:rsidR="00ED3FED" w:rsidRDefault="00ED3FED" w:rsidP="0030453D">
      <w:pPr>
        <w:spacing w:after="0" w:line="240" w:lineRule="auto"/>
      </w:pPr>
      <w:r>
        <w:continuationSeparator/>
      </w:r>
    </w:p>
  </w:endnote>
  <w:endnote w:id="1">
    <w:p w:rsidR="0030453D" w:rsidRPr="00AF537D" w:rsidRDefault="0030453D" w:rsidP="0030453D">
      <w:pPr>
        <w:pStyle w:val="a3"/>
        <w:rPr>
          <w:rFonts w:hint="cs"/>
          <w:color w:val="FF0000"/>
        </w:rPr>
      </w:pPr>
      <w:r w:rsidRPr="00DE589F">
        <w:rPr>
          <w:rtl/>
        </w:rPr>
        <w:endnoteRef/>
      </w:r>
      <w:r>
        <w:rPr>
          <w:rtl/>
        </w:rPr>
        <w:t>.</w:t>
      </w:r>
      <w:r>
        <w:rPr>
          <w:rtl/>
        </w:rPr>
        <w:tab/>
      </w:r>
      <w:r>
        <w:rPr>
          <w:rFonts w:hint="cs"/>
          <w:rtl/>
        </w:rPr>
        <w:t xml:space="preserve">ברכות לא, א; נדה </w:t>
      </w:r>
      <w:proofErr w:type="spellStart"/>
      <w:r>
        <w:rPr>
          <w:rFonts w:hint="cs"/>
          <w:rtl/>
        </w:rPr>
        <w:t>סו</w:t>
      </w:r>
      <w:proofErr w:type="spellEnd"/>
      <w:r>
        <w:rPr>
          <w:rFonts w:hint="cs"/>
          <w:rtl/>
        </w:rPr>
        <w:t>, א.</w:t>
      </w:r>
    </w:p>
  </w:endnote>
  <w:endnote w:id="2">
    <w:p w:rsidR="0030453D" w:rsidRDefault="0030453D" w:rsidP="0030453D">
      <w:pPr>
        <w:pStyle w:val="a3"/>
        <w:rPr>
          <w:rFonts w:hint="cs"/>
          <w:rtl/>
        </w:rPr>
      </w:pPr>
      <w:r w:rsidRPr="00DE589F">
        <w:rPr>
          <w:rtl/>
        </w:rPr>
        <w:endnoteRef/>
      </w:r>
      <w:r>
        <w:rPr>
          <w:rtl/>
        </w:rPr>
        <w:t>.</w:t>
      </w:r>
      <w:r>
        <w:rPr>
          <w:rtl/>
        </w:rPr>
        <w:tab/>
      </w:r>
      <w:r>
        <w:rPr>
          <w:rFonts w:hint="cs"/>
          <w:rtl/>
        </w:rPr>
        <w:t>ספר יצירה פ"א מ"ז.</w:t>
      </w:r>
    </w:p>
  </w:endnote>
  <w:endnote w:id="3">
    <w:p w:rsidR="0030453D" w:rsidRDefault="0030453D" w:rsidP="0030453D">
      <w:pPr>
        <w:pStyle w:val="a3"/>
        <w:rPr>
          <w:rFonts w:hint="cs"/>
          <w:rtl/>
        </w:rPr>
      </w:pPr>
      <w:r w:rsidRPr="00DE589F">
        <w:rPr>
          <w:rtl/>
        </w:rPr>
        <w:endnoteRef/>
      </w:r>
      <w:r>
        <w:rPr>
          <w:rtl/>
        </w:rPr>
        <w:t>.</w:t>
      </w:r>
      <w:r>
        <w:rPr>
          <w:rtl/>
        </w:rPr>
        <w:tab/>
      </w:r>
      <w:r>
        <w:rPr>
          <w:rFonts w:hint="cs"/>
          <w:rtl/>
        </w:rPr>
        <w:t>משלי א, ח.</w:t>
      </w:r>
    </w:p>
  </w:endnote>
  <w:endnote w:id="4">
    <w:p w:rsidR="0030453D" w:rsidRDefault="0030453D" w:rsidP="0030453D">
      <w:pPr>
        <w:pStyle w:val="a3"/>
        <w:rPr>
          <w:rFonts w:hint="cs"/>
        </w:rPr>
      </w:pPr>
      <w:r w:rsidRPr="00DE589F">
        <w:rPr>
          <w:rtl/>
        </w:rPr>
        <w:endnoteRef/>
      </w:r>
      <w:r>
        <w:rPr>
          <w:rtl/>
        </w:rPr>
        <w:t>.</w:t>
      </w:r>
      <w:r>
        <w:rPr>
          <w:rtl/>
        </w:rPr>
        <w:tab/>
      </w:r>
      <w:r>
        <w:rPr>
          <w:rFonts w:hint="cs"/>
          <w:rtl/>
        </w:rPr>
        <w:t xml:space="preserve">הקדמת </w:t>
      </w:r>
      <w:proofErr w:type="spellStart"/>
      <w:r>
        <w:rPr>
          <w:rFonts w:hint="cs"/>
          <w:rtl/>
        </w:rPr>
        <w:t>תקוני</w:t>
      </w:r>
      <w:proofErr w:type="spellEnd"/>
      <w:r>
        <w:rPr>
          <w:rFonts w:hint="cs"/>
          <w:rtl/>
        </w:rPr>
        <w:t xml:space="preserve"> זהר.</w:t>
      </w:r>
    </w:p>
  </w:endnote>
  <w:endnote w:id="5">
    <w:p w:rsidR="0030453D" w:rsidRDefault="0030453D" w:rsidP="0030453D">
      <w:pPr>
        <w:pStyle w:val="a3"/>
        <w:rPr>
          <w:rFonts w:hint="cs"/>
          <w:rtl/>
        </w:rPr>
      </w:pPr>
      <w:r w:rsidRPr="00DE589F">
        <w:rPr>
          <w:rtl/>
        </w:rPr>
        <w:endnoteRef/>
      </w:r>
      <w:r>
        <w:rPr>
          <w:rtl/>
        </w:rPr>
        <w:t>.</w:t>
      </w:r>
      <w:r>
        <w:rPr>
          <w:rtl/>
        </w:rPr>
        <w:tab/>
      </w:r>
      <w:r>
        <w:rPr>
          <w:rFonts w:hint="cs"/>
          <w:rtl/>
        </w:rPr>
        <w:t xml:space="preserve">ראה מאמרי אדמו"ר הזקן תקס"ה ד"ה "להבין... צדוק </w:t>
      </w:r>
      <w:proofErr w:type="spellStart"/>
      <w:r>
        <w:rPr>
          <w:rFonts w:hint="cs"/>
          <w:rtl/>
        </w:rPr>
        <w:t>וביתוס</w:t>
      </w:r>
      <w:proofErr w:type="spellEnd"/>
      <w:r>
        <w:rPr>
          <w:rFonts w:hint="cs"/>
          <w:rtl/>
        </w:rPr>
        <w:t>" (עמ' קנז).</w:t>
      </w:r>
    </w:p>
  </w:endnote>
  <w:endnote w:id="6">
    <w:p w:rsidR="0030453D" w:rsidRDefault="0030453D" w:rsidP="0030453D">
      <w:pPr>
        <w:pStyle w:val="a3"/>
        <w:rPr>
          <w:rFonts w:hint="cs"/>
          <w:rtl/>
        </w:rPr>
      </w:pPr>
      <w:r w:rsidRPr="00DE589F">
        <w:rPr>
          <w:rtl/>
        </w:rPr>
        <w:endnoteRef/>
      </w:r>
      <w:r>
        <w:rPr>
          <w:rtl/>
        </w:rPr>
        <w:t>.</w:t>
      </w:r>
      <w:r>
        <w:rPr>
          <w:rtl/>
        </w:rPr>
        <w:tab/>
      </w:r>
      <w:r>
        <w:rPr>
          <w:rFonts w:hint="cs"/>
          <w:rtl/>
        </w:rPr>
        <w:t>ישעיה לג, ו.</w:t>
      </w:r>
    </w:p>
  </w:endnote>
  <w:endnote w:id="7">
    <w:p w:rsidR="0030453D" w:rsidRDefault="0030453D" w:rsidP="0030453D">
      <w:pPr>
        <w:pStyle w:val="a3"/>
        <w:rPr>
          <w:rFonts w:hint="cs"/>
        </w:rPr>
      </w:pPr>
      <w:r w:rsidRPr="00DE589F">
        <w:rPr>
          <w:rtl/>
        </w:rPr>
        <w:endnoteRef/>
      </w:r>
      <w:r>
        <w:rPr>
          <w:rtl/>
        </w:rPr>
        <w:t>.</w:t>
      </w:r>
      <w:r>
        <w:rPr>
          <w:rtl/>
        </w:rPr>
        <w:tab/>
      </w:r>
      <w:r>
        <w:rPr>
          <w:rFonts w:hint="cs"/>
          <w:rtl/>
        </w:rPr>
        <w:t>שבת לא, א.</w:t>
      </w:r>
    </w:p>
  </w:endnote>
  <w:endnote w:id="8">
    <w:p w:rsidR="0030453D" w:rsidRDefault="0030453D" w:rsidP="0030453D">
      <w:pPr>
        <w:pStyle w:val="a3"/>
        <w:rPr>
          <w:rFonts w:hint="cs"/>
          <w:rtl/>
        </w:rPr>
      </w:pPr>
      <w:r w:rsidRPr="00DE589F">
        <w:rPr>
          <w:rtl/>
        </w:rPr>
        <w:endnoteRef/>
      </w:r>
      <w:r>
        <w:rPr>
          <w:rtl/>
        </w:rPr>
        <w:t>.</w:t>
      </w:r>
      <w:r>
        <w:rPr>
          <w:rtl/>
        </w:rPr>
        <w:tab/>
      </w:r>
      <w:r>
        <w:rPr>
          <w:rFonts w:hint="cs"/>
          <w:rtl/>
        </w:rPr>
        <w:t xml:space="preserve">במדבר רבה </w:t>
      </w:r>
      <w:proofErr w:type="spellStart"/>
      <w:r>
        <w:rPr>
          <w:rFonts w:hint="cs"/>
          <w:rtl/>
        </w:rPr>
        <w:t>יג</w:t>
      </w:r>
      <w:proofErr w:type="spellEnd"/>
      <w:r>
        <w:rPr>
          <w:rFonts w:hint="cs"/>
          <w:rtl/>
        </w:rPr>
        <w:t>, טו.</w:t>
      </w:r>
    </w:p>
  </w:endnote>
  <w:endnote w:id="9">
    <w:p w:rsidR="0030453D" w:rsidRDefault="0030453D" w:rsidP="0030453D">
      <w:pPr>
        <w:pStyle w:val="a3"/>
        <w:rPr>
          <w:rFonts w:hint="cs"/>
        </w:rPr>
      </w:pPr>
      <w:r w:rsidRPr="00DE589F">
        <w:rPr>
          <w:rtl/>
        </w:rPr>
        <w:endnoteRef/>
      </w:r>
      <w:r>
        <w:rPr>
          <w:rtl/>
        </w:rPr>
        <w:t>.</w:t>
      </w:r>
      <w:r>
        <w:rPr>
          <w:rtl/>
        </w:rPr>
        <w:tab/>
      </w:r>
      <w:r>
        <w:rPr>
          <w:rFonts w:hint="cs"/>
          <w:rtl/>
        </w:rPr>
        <w:t>משלי א, ז.</w:t>
      </w:r>
    </w:p>
  </w:endnote>
  <w:endnote w:id="10">
    <w:p w:rsidR="0030453D" w:rsidRDefault="0030453D" w:rsidP="0030453D">
      <w:pPr>
        <w:pStyle w:val="a3"/>
        <w:rPr>
          <w:rFonts w:hint="cs"/>
          <w:rtl/>
        </w:rPr>
      </w:pPr>
      <w:r w:rsidRPr="00DE589F">
        <w:rPr>
          <w:rtl/>
        </w:rPr>
        <w:endnoteRef/>
      </w:r>
      <w:r>
        <w:rPr>
          <w:rtl/>
        </w:rPr>
        <w:t>.</w:t>
      </w:r>
      <w:r>
        <w:rPr>
          <w:rtl/>
        </w:rPr>
        <w:tab/>
      </w:r>
      <w:r>
        <w:rPr>
          <w:rFonts w:hint="cs"/>
          <w:rtl/>
        </w:rPr>
        <w:t>שם לא, ל.</w:t>
      </w:r>
    </w:p>
  </w:endnote>
  <w:endnote w:id="11">
    <w:p w:rsidR="0030453D" w:rsidRDefault="0030453D" w:rsidP="0030453D">
      <w:pPr>
        <w:pStyle w:val="a3"/>
        <w:rPr>
          <w:rFonts w:hint="cs"/>
          <w:rtl/>
        </w:rPr>
      </w:pPr>
      <w:r w:rsidRPr="00DE589F">
        <w:rPr>
          <w:rtl/>
        </w:rPr>
        <w:endnoteRef/>
      </w:r>
      <w:r>
        <w:rPr>
          <w:rtl/>
        </w:rPr>
        <w:t>.</w:t>
      </w:r>
      <w:r>
        <w:rPr>
          <w:rtl/>
        </w:rPr>
        <w:tab/>
      </w:r>
      <w:r>
        <w:rPr>
          <w:rFonts w:hint="cs"/>
          <w:rtl/>
        </w:rPr>
        <w:t>ראה רש"י לשמות לא, ג.</w:t>
      </w:r>
    </w:p>
  </w:endnote>
  <w:endnote w:id="12">
    <w:p w:rsidR="0030453D" w:rsidRDefault="0030453D" w:rsidP="0030453D">
      <w:pPr>
        <w:pStyle w:val="a3"/>
        <w:rPr>
          <w:rFonts w:hint="cs"/>
          <w:rtl/>
        </w:rPr>
      </w:pPr>
      <w:r w:rsidRPr="00DE589F">
        <w:rPr>
          <w:rtl/>
        </w:rPr>
        <w:endnoteRef/>
      </w:r>
      <w:r>
        <w:rPr>
          <w:rtl/>
        </w:rPr>
        <w:t>.</w:t>
      </w:r>
      <w:r>
        <w:rPr>
          <w:rtl/>
        </w:rPr>
        <w:tab/>
      </w:r>
      <w:r>
        <w:rPr>
          <w:rFonts w:hint="cs"/>
          <w:rtl/>
        </w:rPr>
        <w:t>בראשית ד, א.</w:t>
      </w:r>
    </w:p>
  </w:endnote>
  <w:endnote w:id="13">
    <w:p w:rsidR="0030453D" w:rsidRDefault="0030453D" w:rsidP="0030453D">
      <w:pPr>
        <w:pStyle w:val="a3"/>
        <w:rPr>
          <w:rFonts w:hint="cs"/>
        </w:rPr>
      </w:pPr>
      <w:r w:rsidRPr="00DE589F">
        <w:rPr>
          <w:rtl/>
        </w:rPr>
        <w:endnoteRef/>
      </w:r>
      <w:r>
        <w:rPr>
          <w:rtl/>
        </w:rPr>
        <w:t>.</w:t>
      </w:r>
      <w:r>
        <w:rPr>
          <w:rtl/>
        </w:rPr>
        <w:tab/>
      </w:r>
      <w:r>
        <w:rPr>
          <w:rFonts w:hint="cs"/>
          <w:rtl/>
        </w:rPr>
        <w:t>רש"י שם ד"ה "הלכה פסוקה".</w:t>
      </w:r>
    </w:p>
  </w:endnote>
  <w:endnote w:id="14">
    <w:p w:rsidR="0030453D" w:rsidRDefault="0030453D" w:rsidP="0030453D">
      <w:pPr>
        <w:pStyle w:val="a3"/>
        <w:rPr>
          <w:rFonts w:hint="cs"/>
          <w:rtl/>
        </w:rPr>
      </w:pPr>
      <w:r w:rsidRPr="00DE589F">
        <w:rPr>
          <w:rtl/>
        </w:rPr>
        <w:endnoteRef/>
      </w:r>
      <w:r>
        <w:rPr>
          <w:rtl/>
        </w:rPr>
        <w:t>.</w:t>
      </w:r>
      <w:r>
        <w:rPr>
          <w:rtl/>
        </w:rPr>
        <w:tab/>
      </w:r>
      <w:r>
        <w:rPr>
          <w:rFonts w:hint="cs"/>
          <w:rtl/>
        </w:rPr>
        <w:t xml:space="preserve">רש"י שם ד"ה "אסור בהנאה </w:t>
      </w:r>
      <w:proofErr w:type="spellStart"/>
      <w:r>
        <w:rPr>
          <w:rFonts w:hint="cs"/>
          <w:rtl/>
        </w:rPr>
        <w:t>ומועלין</w:t>
      </w:r>
      <w:proofErr w:type="spellEnd"/>
      <w:r>
        <w:rPr>
          <w:rFonts w:hint="cs"/>
          <w:rtl/>
        </w:rPr>
        <w:t xml:space="preserve"> בו".</w:t>
      </w:r>
    </w:p>
  </w:endnote>
  <w:endnote w:id="15">
    <w:p w:rsidR="0030453D" w:rsidRDefault="0030453D" w:rsidP="0030453D">
      <w:pPr>
        <w:pStyle w:val="a3"/>
        <w:rPr>
          <w:rFonts w:hint="cs"/>
        </w:rPr>
      </w:pPr>
      <w:r w:rsidRPr="00DE589F">
        <w:rPr>
          <w:rtl/>
        </w:rPr>
        <w:endnoteRef/>
      </w:r>
      <w:r>
        <w:rPr>
          <w:rtl/>
        </w:rPr>
        <w:t>.</w:t>
      </w:r>
      <w:r>
        <w:rPr>
          <w:rtl/>
        </w:rPr>
        <w:tab/>
      </w:r>
      <w:r>
        <w:rPr>
          <w:rFonts w:hint="cs"/>
          <w:rtl/>
        </w:rPr>
        <w:t>אודות מושג זה ראה בספרים מודעות טבעית והטבע היהודי.</w:t>
      </w:r>
    </w:p>
  </w:endnote>
  <w:endnote w:id="16">
    <w:p w:rsidR="0030453D" w:rsidRPr="00CA1994" w:rsidRDefault="0030453D" w:rsidP="0030453D">
      <w:pPr>
        <w:pStyle w:val="a3"/>
        <w:rPr>
          <w:rFonts w:hint="cs"/>
        </w:rPr>
      </w:pPr>
      <w:r w:rsidRPr="00DE589F">
        <w:rPr>
          <w:rtl/>
        </w:rPr>
        <w:endnoteRef/>
      </w:r>
      <w:r>
        <w:rPr>
          <w:rtl/>
        </w:rPr>
        <w:t>.</w:t>
      </w:r>
      <w:r>
        <w:rPr>
          <w:rtl/>
        </w:rPr>
        <w:tab/>
      </w:r>
      <w:r>
        <w:rPr>
          <w:rFonts w:hint="cs"/>
          <w:rtl/>
        </w:rPr>
        <w:t>זהר</w:t>
      </w:r>
      <w:r w:rsidRPr="00CA1994">
        <w:rPr>
          <w:rFonts w:hint="cs"/>
          <w:rtl/>
        </w:rPr>
        <w:t xml:space="preserve"> </w:t>
      </w:r>
      <w:proofErr w:type="spellStart"/>
      <w:r w:rsidRPr="00CA1994">
        <w:rPr>
          <w:rFonts w:hint="cs"/>
          <w:rtl/>
        </w:rPr>
        <w:t>ח"ג</w:t>
      </w:r>
      <w:proofErr w:type="spellEnd"/>
      <w:r w:rsidRPr="00CA1994">
        <w:rPr>
          <w:rFonts w:hint="cs"/>
          <w:rtl/>
        </w:rPr>
        <w:t xml:space="preserve"> </w:t>
      </w:r>
      <w:proofErr w:type="spellStart"/>
      <w:r w:rsidRPr="00CA1994">
        <w:rPr>
          <w:rFonts w:hint="cs"/>
          <w:rtl/>
        </w:rPr>
        <w:t>קכד</w:t>
      </w:r>
      <w:proofErr w:type="spellEnd"/>
      <w:r w:rsidRPr="00CA1994">
        <w:rPr>
          <w:rFonts w:hint="cs"/>
          <w:rtl/>
        </w:rPr>
        <w:t xml:space="preserve">, ב (הובא ונתבאר </w:t>
      </w:r>
      <w:proofErr w:type="spellStart"/>
      <w:r w:rsidRPr="00CA1994">
        <w:rPr>
          <w:rFonts w:hint="cs"/>
          <w:rtl/>
        </w:rPr>
        <w:t>בתניא</w:t>
      </w:r>
      <w:proofErr w:type="spellEnd"/>
      <w:r w:rsidRPr="00CA1994">
        <w:rPr>
          <w:rFonts w:hint="cs"/>
          <w:rtl/>
        </w:rPr>
        <w:t xml:space="preserve"> </w:t>
      </w:r>
      <w:proofErr w:type="spellStart"/>
      <w:r w:rsidRPr="00CA1994">
        <w:rPr>
          <w:rFonts w:hint="cs"/>
          <w:rtl/>
        </w:rPr>
        <w:t>אגה"ק</w:t>
      </w:r>
      <w:proofErr w:type="spellEnd"/>
      <w:r w:rsidRPr="00CA1994">
        <w:rPr>
          <w:rFonts w:hint="cs"/>
          <w:rtl/>
        </w:rPr>
        <w:t xml:space="preserve"> </w:t>
      </w:r>
      <w:proofErr w:type="spellStart"/>
      <w:r w:rsidRPr="00CA1994">
        <w:rPr>
          <w:rFonts w:hint="cs"/>
          <w:rtl/>
        </w:rPr>
        <w:t>כו</w:t>
      </w:r>
      <w:proofErr w:type="spellEnd"/>
      <w:r w:rsidRPr="00CA1994">
        <w:rPr>
          <w:rFonts w:hint="cs"/>
          <w:rtl/>
        </w:rPr>
        <w:t>). יחסית, "</w:t>
      </w:r>
      <w:proofErr w:type="spellStart"/>
      <w:r w:rsidRPr="00CA1994">
        <w:rPr>
          <w:rFonts w:hint="cs"/>
          <w:rtl/>
        </w:rPr>
        <w:t>קשיא</w:t>
      </w:r>
      <w:proofErr w:type="spellEnd"/>
      <w:r w:rsidRPr="00CA1994">
        <w:rPr>
          <w:rFonts w:hint="cs"/>
          <w:rtl/>
        </w:rPr>
        <w:t xml:space="preserve"> </w:t>
      </w:r>
      <w:proofErr w:type="spellStart"/>
      <w:r w:rsidRPr="00CA1994">
        <w:rPr>
          <w:rFonts w:hint="cs"/>
          <w:rtl/>
        </w:rPr>
        <w:t>מסטרא</w:t>
      </w:r>
      <w:proofErr w:type="spellEnd"/>
      <w:r w:rsidRPr="00CA1994">
        <w:rPr>
          <w:rFonts w:hint="cs"/>
          <w:rtl/>
        </w:rPr>
        <w:t xml:space="preserve"> </w:t>
      </w:r>
      <w:proofErr w:type="spellStart"/>
      <w:r w:rsidRPr="00CA1994">
        <w:rPr>
          <w:rFonts w:hint="cs"/>
          <w:rtl/>
        </w:rPr>
        <w:t>דרע</w:t>
      </w:r>
      <w:proofErr w:type="spellEnd"/>
      <w:r w:rsidRPr="00CA1994">
        <w:rPr>
          <w:rFonts w:hint="cs"/>
          <w:rtl/>
        </w:rPr>
        <w:t xml:space="preserve">" היינו פגם הברית הגברי </w:t>
      </w:r>
      <w:r w:rsidRPr="00CA1994">
        <w:rPr>
          <w:rtl/>
        </w:rPr>
        <w:t>–</w:t>
      </w:r>
      <w:r w:rsidRPr="00CA1994">
        <w:rPr>
          <w:rFonts w:hint="cs"/>
          <w:rtl/>
        </w:rPr>
        <w:t xml:space="preserve"> קישוי לדעת שלא במקום זיווג </w:t>
      </w:r>
      <w:r w:rsidRPr="00CA1994">
        <w:rPr>
          <w:rtl/>
        </w:rPr>
        <w:t>–</w:t>
      </w:r>
      <w:r w:rsidRPr="00CA1994">
        <w:rPr>
          <w:rFonts w:hint="cs"/>
          <w:rtl/>
        </w:rPr>
        <w:t xml:space="preserve"> ואילו ""מחלוקת מרוח הטומאה" היינו פגם ברית הנשי, מחלוקת הצרות וקנאת </w:t>
      </w:r>
      <w:proofErr w:type="spellStart"/>
      <w:r w:rsidRPr="00CA1994">
        <w:rPr>
          <w:rFonts w:hint="cs"/>
          <w:rtl/>
        </w:rPr>
        <w:t>אשה</w:t>
      </w:r>
      <w:proofErr w:type="spellEnd"/>
      <w:r w:rsidRPr="00CA1994">
        <w:rPr>
          <w:rFonts w:hint="cs"/>
          <w:rtl/>
        </w:rPr>
        <w:t xml:space="preserve"> בירך חברתה.</w:t>
      </w:r>
    </w:p>
  </w:endnote>
  <w:endnote w:id="17">
    <w:p w:rsidR="0030453D" w:rsidRDefault="0030453D" w:rsidP="0030453D">
      <w:pPr>
        <w:pStyle w:val="a3"/>
        <w:rPr>
          <w:rFonts w:hint="cs"/>
          <w:rtl/>
        </w:rPr>
      </w:pPr>
      <w:r w:rsidRPr="00DE589F">
        <w:rPr>
          <w:rtl/>
        </w:rPr>
        <w:endnoteRef/>
      </w:r>
      <w:r>
        <w:rPr>
          <w:rtl/>
        </w:rPr>
        <w:t>.</w:t>
      </w:r>
      <w:r>
        <w:rPr>
          <w:rtl/>
        </w:rPr>
        <w:tab/>
      </w:r>
      <w:r>
        <w:rPr>
          <w:rFonts w:hint="cs"/>
          <w:rtl/>
        </w:rPr>
        <w:t>עפ"י ברכות ד, א.</w:t>
      </w:r>
    </w:p>
  </w:endnote>
  <w:endnote w:id="18">
    <w:p w:rsidR="0030453D" w:rsidRDefault="0030453D" w:rsidP="0030453D">
      <w:pPr>
        <w:pStyle w:val="a3"/>
        <w:rPr>
          <w:rFonts w:hint="cs"/>
          <w:rtl/>
        </w:rPr>
      </w:pPr>
      <w:r w:rsidRPr="00DE589F">
        <w:rPr>
          <w:rtl/>
        </w:rPr>
        <w:endnoteRef/>
      </w:r>
      <w:r>
        <w:rPr>
          <w:rtl/>
        </w:rPr>
        <w:t>.</w:t>
      </w:r>
      <w:r>
        <w:rPr>
          <w:rtl/>
        </w:rPr>
        <w:tab/>
      </w:r>
      <w:r>
        <w:rPr>
          <w:rFonts w:hint="cs"/>
          <w:rtl/>
        </w:rPr>
        <w:t>וראה עוד לקמן בתורה "נקיות הדעת לתפלה".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FED" w:rsidRDefault="00ED3FED" w:rsidP="0030453D">
      <w:pPr>
        <w:spacing w:after="0" w:line="240" w:lineRule="auto"/>
      </w:pPr>
      <w:r>
        <w:separator/>
      </w:r>
    </w:p>
  </w:footnote>
  <w:footnote w:type="continuationSeparator" w:id="0">
    <w:p w:rsidR="00ED3FED" w:rsidRDefault="00ED3FED" w:rsidP="003045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0AE"/>
    <w:rsid w:val="00061E65"/>
    <w:rsid w:val="002920AE"/>
    <w:rsid w:val="0030453D"/>
    <w:rsid w:val="00AC2310"/>
    <w:rsid w:val="00ED3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0453D"/>
    <w:pPr>
      <w:bidi/>
      <w:spacing w:after="120" w:line="330" w:lineRule="exact"/>
      <w:jc w:val="both"/>
    </w:pPr>
    <w:rPr>
      <w:rFonts w:ascii="Times New Roman" w:eastAsia="Times New Roman" w:hAnsi="Times New Roman" w:cs="oprFrank"/>
      <w:sz w:val="26"/>
      <w:szCs w:val="26"/>
      <w:lang w:eastAsia="he-IL"/>
    </w:rPr>
  </w:style>
  <w:style w:type="paragraph" w:styleId="2">
    <w:name w:val="heading 2"/>
    <w:aliases w:val="Heading 2"/>
    <w:next w:val="a"/>
    <w:link w:val="20"/>
    <w:qFormat/>
    <w:rsid w:val="0030453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0453D"/>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30453D"/>
    <w:pPr>
      <w:tabs>
        <w:tab w:val="left" w:pos="340"/>
      </w:tabs>
      <w:spacing w:after="20" w:line="260" w:lineRule="exact"/>
      <w:ind w:left="335" w:hanging="335"/>
    </w:pPr>
    <w:rPr>
      <w:sz w:val="20"/>
      <w:szCs w:val="23"/>
    </w:rPr>
  </w:style>
  <w:style w:type="character" w:customStyle="1" w:styleId="a4">
    <w:name w:val="טקסט הערת סיום תו"/>
    <w:basedOn w:val="a0"/>
    <w:link w:val="a3"/>
    <w:semiHidden/>
    <w:rsid w:val="0030453D"/>
    <w:rPr>
      <w:rFonts w:ascii="Times New Roman" w:eastAsia="Times New Roman" w:hAnsi="Times New Roman" w:cs="oprFrank"/>
      <w:sz w:val="20"/>
      <w:szCs w:val="23"/>
      <w:lang w:eastAsia="he-IL"/>
    </w:rPr>
  </w:style>
  <w:style w:type="character" w:styleId="a5">
    <w:name w:val="endnote reference"/>
    <w:aliases w:val="Endnote Reference"/>
    <w:basedOn w:val="a6"/>
    <w:semiHidden/>
    <w:rsid w:val="0030453D"/>
    <w:rPr>
      <w:noProof/>
      <w:position w:val="-4"/>
      <w:szCs w:val="27"/>
      <w:vertAlign w:val="superscript"/>
    </w:rPr>
  </w:style>
  <w:style w:type="paragraph" w:customStyle="1" w:styleId="a7">
    <w:name w:val="פתיח תו"/>
    <w:basedOn w:val="a"/>
    <w:link w:val="a8"/>
    <w:rsid w:val="0030453D"/>
    <w:pPr>
      <w:keepNext/>
      <w:framePr w:wrap="around" w:vAnchor="text" w:hAnchor="text" w:xAlign="right" w:y="-112"/>
      <w:spacing w:after="0" w:line="720" w:lineRule="exact"/>
      <w:textAlignment w:val="baseline"/>
    </w:pPr>
    <w:rPr>
      <w:rFonts w:cs="Guttman Soncino"/>
      <w:b/>
      <w:bCs/>
      <w:color w:val="808080"/>
      <w:position w:val="-5"/>
      <w:sz w:val="85"/>
      <w:szCs w:val="72"/>
    </w:rPr>
  </w:style>
  <w:style w:type="character" w:customStyle="1" w:styleId="a8">
    <w:name w:val="פתיח תו תו"/>
    <w:basedOn w:val="a0"/>
    <w:link w:val="a7"/>
    <w:rsid w:val="0030453D"/>
    <w:rPr>
      <w:rFonts w:ascii="Times New Roman" w:eastAsia="Times New Roman" w:hAnsi="Times New Roman" w:cs="Guttman Soncino"/>
      <w:b/>
      <w:bCs/>
      <w:color w:val="808080"/>
      <w:position w:val="-5"/>
      <w:sz w:val="85"/>
      <w:szCs w:val="72"/>
      <w:lang w:eastAsia="he-IL"/>
    </w:rPr>
  </w:style>
  <w:style w:type="character" w:styleId="a6">
    <w:name w:val="footnote reference"/>
    <w:basedOn w:val="a0"/>
    <w:uiPriority w:val="99"/>
    <w:semiHidden/>
    <w:unhideWhenUsed/>
    <w:rsid w:val="0030453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0453D"/>
    <w:pPr>
      <w:bidi/>
      <w:spacing w:after="120" w:line="330" w:lineRule="exact"/>
      <w:jc w:val="both"/>
    </w:pPr>
    <w:rPr>
      <w:rFonts w:ascii="Times New Roman" w:eastAsia="Times New Roman" w:hAnsi="Times New Roman" w:cs="oprFrank"/>
      <w:sz w:val="26"/>
      <w:szCs w:val="26"/>
      <w:lang w:eastAsia="he-IL"/>
    </w:rPr>
  </w:style>
  <w:style w:type="paragraph" w:styleId="2">
    <w:name w:val="heading 2"/>
    <w:aliases w:val="Heading 2"/>
    <w:next w:val="a"/>
    <w:link w:val="20"/>
    <w:qFormat/>
    <w:rsid w:val="0030453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0453D"/>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30453D"/>
    <w:pPr>
      <w:tabs>
        <w:tab w:val="left" w:pos="340"/>
      </w:tabs>
      <w:spacing w:after="20" w:line="260" w:lineRule="exact"/>
      <w:ind w:left="335" w:hanging="335"/>
    </w:pPr>
    <w:rPr>
      <w:sz w:val="20"/>
      <w:szCs w:val="23"/>
    </w:rPr>
  </w:style>
  <w:style w:type="character" w:customStyle="1" w:styleId="a4">
    <w:name w:val="טקסט הערת סיום תו"/>
    <w:basedOn w:val="a0"/>
    <w:link w:val="a3"/>
    <w:semiHidden/>
    <w:rsid w:val="0030453D"/>
    <w:rPr>
      <w:rFonts w:ascii="Times New Roman" w:eastAsia="Times New Roman" w:hAnsi="Times New Roman" w:cs="oprFrank"/>
      <w:sz w:val="20"/>
      <w:szCs w:val="23"/>
      <w:lang w:eastAsia="he-IL"/>
    </w:rPr>
  </w:style>
  <w:style w:type="character" w:styleId="a5">
    <w:name w:val="endnote reference"/>
    <w:aliases w:val="Endnote Reference"/>
    <w:basedOn w:val="a6"/>
    <w:semiHidden/>
    <w:rsid w:val="0030453D"/>
    <w:rPr>
      <w:noProof/>
      <w:position w:val="-4"/>
      <w:szCs w:val="27"/>
      <w:vertAlign w:val="superscript"/>
    </w:rPr>
  </w:style>
  <w:style w:type="paragraph" w:customStyle="1" w:styleId="a7">
    <w:name w:val="פתיח תו"/>
    <w:basedOn w:val="a"/>
    <w:link w:val="a8"/>
    <w:rsid w:val="0030453D"/>
    <w:pPr>
      <w:keepNext/>
      <w:framePr w:wrap="around" w:vAnchor="text" w:hAnchor="text" w:xAlign="right" w:y="-112"/>
      <w:spacing w:after="0" w:line="720" w:lineRule="exact"/>
      <w:textAlignment w:val="baseline"/>
    </w:pPr>
    <w:rPr>
      <w:rFonts w:cs="Guttman Soncino"/>
      <w:b/>
      <w:bCs/>
      <w:color w:val="808080"/>
      <w:position w:val="-5"/>
      <w:sz w:val="85"/>
      <w:szCs w:val="72"/>
    </w:rPr>
  </w:style>
  <w:style w:type="character" w:customStyle="1" w:styleId="a8">
    <w:name w:val="פתיח תו תו"/>
    <w:basedOn w:val="a0"/>
    <w:link w:val="a7"/>
    <w:rsid w:val="0030453D"/>
    <w:rPr>
      <w:rFonts w:ascii="Times New Roman" w:eastAsia="Times New Roman" w:hAnsi="Times New Roman" w:cs="Guttman Soncino"/>
      <w:b/>
      <w:bCs/>
      <w:color w:val="808080"/>
      <w:position w:val="-5"/>
      <w:sz w:val="85"/>
      <w:szCs w:val="72"/>
      <w:lang w:eastAsia="he-IL"/>
    </w:rPr>
  </w:style>
  <w:style w:type="character" w:styleId="a6">
    <w:name w:val="footnote reference"/>
    <w:basedOn w:val="a0"/>
    <w:uiPriority w:val="99"/>
    <w:semiHidden/>
    <w:unhideWhenUsed/>
    <w:rsid w:val="003045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1800</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2017-08-16T11:25:00Z</dcterms:created>
  <dcterms:modified xsi:type="dcterms:W3CDTF">2017-08-16T11:25:00Z</dcterms:modified>
</cp:coreProperties>
</file>