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F58" w:rsidRPr="00C71F58" w:rsidRDefault="00C71F58" w:rsidP="00C71F58">
      <w:pPr>
        <w:spacing w:before="1080" w:after="720" w:line="240" w:lineRule="auto"/>
        <w:ind w:left="-45"/>
        <w:jc w:val="right"/>
        <w:outlineLvl w:val="1"/>
        <w:rPr>
          <w:rFonts w:ascii="DF Calligraphic Ornaments LET" w:eastAsia="Times New Roman" w:hAnsi="DF Calligraphic Ornaments LET" w:cs="Guttman Soncino" w:hint="cs"/>
          <w:noProof/>
          <w:spacing w:val="20"/>
          <w:w w:val="90"/>
          <w:kern w:val="28"/>
          <w:sz w:val="44"/>
          <w:szCs w:val="46"/>
          <w:rtl/>
        </w:rPr>
      </w:pPr>
      <w:r w:rsidRPr="00C71F58">
        <w:rPr>
          <w:rFonts w:ascii="DF Calligraphic Ornaments LET" w:eastAsia="Times New Roman" w:hAnsi="DF Calligraphic Ornaments LET" w:cs="Guttman Soncino" w:hint="cs"/>
          <w:noProof/>
          <w:spacing w:val="20"/>
          <w:w w:val="90"/>
          <w:kern w:val="28"/>
          <w:sz w:val="44"/>
          <w:szCs w:val="46"/>
          <w:rtl/>
        </w:rPr>
        <w:t>נקיות הדעת לתפלה</w:t>
      </w:r>
    </w:p>
    <w:p w:rsidR="00C71F58" w:rsidRPr="00C71F58" w:rsidRDefault="00C71F58" w:rsidP="00C71F58">
      <w:pPr>
        <w:spacing w:after="120" w:line="320" w:lineRule="exact"/>
        <w:ind w:left="907"/>
        <w:contextualSpacing/>
        <w:jc w:val="both"/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</w:pPr>
      <w:r w:rsidRPr="00C71F58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>תנו רבנן</w:t>
      </w:r>
      <w:r w:rsidRPr="00C71F58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:</w:t>
      </w:r>
      <w:r w:rsidRPr="00C71F58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 xml:space="preserve"> אין עומדין להתפלל לא מתוך דין ולא מתוך דבר הלכה אלא מתוך הלכה פסוקה</w:t>
      </w:r>
      <w:r w:rsidRPr="00C71F58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.</w:t>
      </w:r>
      <w:r w:rsidRPr="00C71F58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 xml:space="preserve"> </w:t>
      </w:r>
    </w:p>
    <w:p w:rsidR="00C71F58" w:rsidRPr="00C71F58" w:rsidRDefault="00C71F58" w:rsidP="00C71F58">
      <w:pPr>
        <w:spacing w:after="120" w:line="320" w:lineRule="exact"/>
        <w:ind w:left="907"/>
        <w:contextualSpacing/>
        <w:jc w:val="both"/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</w:pPr>
      <w:r w:rsidRPr="00C71F58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>והיכי דמי הלכה פסוקה</w:t>
      </w:r>
      <w:r w:rsidRPr="00C71F58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?</w:t>
      </w:r>
      <w:r w:rsidRPr="00C71F58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 xml:space="preserve"> אמר אביי</w:t>
      </w:r>
      <w:r w:rsidRPr="00C71F58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,</w:t>
      </w:r>
      <w:r w:rsidRPr="00C71F58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 xml:space="preserve"> כי הא דרבי זירא</w:t>
      </w:r>
      <w:r w:rsidRPr="00C71F58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,</w:t>
      </w:r>
      <w:r w:rsidRPr="00C71F58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 xml:space="preserve"> דאמר רבי זירא בנות ישראל החמירו על עצמן שאפילו רואות טיפת דם כחרדל יושבת עליה שבעה נקיים</w:t>
      </w:r>
      <w:r w:rsidRPr="00C71F58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.</w:t>
      </w:r>
      <w:r w:rsidRPr="00C71F58">
        <w:rPr>
          <w:rFonts w:ascii="Times New Roman" w:eastAsia="Times New Roman" w:hAnsi="Times New Roman" w:cs="Guttman Soncino"/>
          <w:noProof/>
          <w:snapToGrid w:val="0"/>
          <w:position w:val="-4"/>
          <w:sz w:val="23"/>
          <w:szCs w:val="27"/>
          <w:vertAlign w:val="superscript"/>
          <w:rtl/>
        </w:rPr>
        <w:endnoteReference w:id="1"/>
      </w:r>
    </w:p>
    <w:p w:rsidR="00C71F58" w:rsidRPr="00C71F58" w:rsidRDefault="00C71F58" w:rsidP="00C71F58">
      <w:pPr>
        <w:spacing w:after="120" w:line="330" w:lineRule="exact"/>
        <w:jc w:val="both"/>
        <w:rPr>
          <w:rFonts w:ascii="Times New Roman" w:eastAsia="Times New Roman" w:hAnsi="Times New Roman" w:cs="oprFrank" w:hint="cs"/>
          <w:sz w:val="26"/>
          <w:szCs w:val="26"/>
          <w:rtl/>
        </w:rPr>
      </w:pP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מכאן נלמד (בדרך רמז הקרוב לפשט) כי לימודה וקיומה של "הלכה פסוקה" הם סגולה נפלאה לכוונת התפלה מתוך דעת צלולה ונקיה. כמובן, ההלכה הפסוקה של חומרת בנות ישראל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בעניני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שבעה נקיים מתאימה במיוחד כסגולה לנקיות הדעת בתפלה</w:t>
      </w:r>
      <w:r w:rsidRPr="00C71F58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</w:rPr>
        <w:endnoteReference w:id="2"/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. "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הלואי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שיתפלל אדם כל היום כולו"</w:t>
      </w:r>
      <w:r w:rsidRPr="00C71F58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</w:rPr>
        <w:endnoteReference w:id="3"/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r w:rsidRPr="00C71F58">
        <w:rPr>
          <w:rFonts w:ascii="Times New Roman" w:eastAsia="Times New Roman" w:hAnsi="Times New Roman" w:cs="oprFrank"/>
          <w:sz w:val="26"/>
          <w:szCs w:val="26"/>
          <w:rtl/>
        </w:rPr>
        <w:t>–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הלואי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שיזכה האדם לראש נקי לכוון לה' כל היום כולו</w:t>
      </w:r>
      <w:r w:rsidRPr="00C71F58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</w:rPr>
        <w:endnoteReference w:id="4"/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r w:rsidRPr="00C71F58">
        <w:rPr>
          <w:rFonts w:ascii="Times New Roman" w:eastAsia="Times New Roman" w:hAnsi="Times New Roman" w:cs="oprFrank"/>
          <w:sz w:val="26"/>
          <w:szCs w:val="26"/>
          <w:rtl/>
        </w:rPr>
        <w:t>–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הכל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בזכות "בנות ישראל החמירו על עצמן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וכו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'" (והיינו שזוכים להגיע לבחינת "נקיי הדעת שבירושלים" </w:t>
      </w:r>
      <w:r w:rsidRPr="00C71F58">
        <w:rPr>
          <w:rFonts w:ascii="Times New Roman" w:eastAsia="Times New Roman" w:hAnsi="Times New Roman" w:cs="oprFrank"/>
          <w:sz w:val="26"/>
          <w:szCs w:val="26"/>
          <w:rtl/>
        </w:rPr>
        <w:t>–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ירושלים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היינו 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שלמ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ות ה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יראה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r w:rsidRPr="00C71F58">
        <w:rPr>
          <w:rFonts w:ascii="Times New Roman" w:eastAsia="Times New Roman" w:hAnsi="Times New Roman" w:cs="oprFrank"/>
          <w:sz w:val="26"/>
          <w:szCs w:val="26"/>
          <w:rtl/>
        </w:rPr>
        <w:t>–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מכח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"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אשה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יראת הוי'"</w:t>
      </w:r>
      <w:r w:rsidRPr="00C71F58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</w:rPr>
        <w:endnoteReference w:id="5"/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).</w:t>
      </w:r>
    </w:p>
    <w:p w:rsidR="00C71F58" w:rsidRPr="00C71F58" w:rsidRDefault="00C71F58" w:rsidP="00C71F58">
      <w:pPr>
        <w:spacing w:after="120" w:line="330" w:lineRule="exact"/>
        <w:jc w:val="both"/>
        <w:rPr>
          <w:rFonts w:ascii="Times New Roman" w:eastAsia="Times New Roman" w:hAnsi="Times New Roman" w:cs="oprFrank" w:hint="cs"/>
          <w:sz w:val="26"/>
          <w:szCs w:val="26"/>
          <w:rtl/>
        </w:rPr>
      </w:pP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עיקר התפלה הוא על בנים, כפי שלומדים מתפלת יצחק אבינו ורבקה אמנו </w:t>
      </w:r>
      <w:r w:rsidRPr="00C71F58">
        <w:rPr>
          <w:rFonts w:ascii="Times New Roman" w:eastAsia="Times New Roman" w:hAnsi="Times New Roman" w:cs="oprFrank"/>
          <w:sz w:val="26"/>
          <w:szCs w:val="26"/>
          <w:rtl/>
        </w:rPr>
        <w:t>–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עמוד התפלה בין האבות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והאמהות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(כרמז הידוע: 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יצחק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רבקה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בגימטריא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תפלה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) </w:t>
      </w:r>
      <w:r w:rsidRPr="00C71F58">
        <w:rPr>
          <w:rFonts w:ascii="Times New Roman" w:eastAsia="Times New Roman" w:hAnsi="Times New Roman" w:cs="oprFrank"/>
          <w:sz w:val="26"/>
          <w:szCs w:val="26"/>
          <w:rtl/>
        </w:rPr>
        <w:t>–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ונקיות הדעת בתפלה על הבנים מזכה ב"זרע נקי וברור".</w:t>
      </w:r>
    </w:p>
    <w:p w:rsidR="00C71F58" w:rsidRPr="00C71F58" w:rsidRDefault="00C71F58" w:rsidP="00C71F58">
      <w:pPr>
        <w:spacing w:after="120" w:line="330" w:lineRule="exact"/>
        <w:jc w:val="both"/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</w:pP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ובתוספת העמקה: מקור דין שבעה נקיים הוא בפסוקים 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"ואשה כי יזוב זוב דמה ימים רבים... ואם טהרה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מזובה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וספרה לה שבעת ימים ואחר תטהר"</w:t>
      </w:r>
      <w:r w:rsidRPr="00C71F58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6"/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. חז"ל אומרים</w:t>
      </w:r>
      <w:r w:rsidRPr="00C71F58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7"/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כי "ימים רבים" הוא ביטוי של "ימי צער" </w:t>
      </w:r>
      <w:r w:rsidRPr="00C71F58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קושי הריחוק גורם לכך שהימים נראים כ"ימים רבים" (לעומת "ויהי בעיניו כימים אחדים באהבתו אֹתה"), ובעומק </w:t>
      </w:r>
      <w:r w:rsidRPr="00C71F58">
        <w:rPr>
          <w:rFonts w:ascii="Times New Roman" w:eastAsia="Times New Roman" w:hAnsi="Times New Roman" w:cs="MiriamMFO" w:hint="cs"/>
          <w:sz w:val="21"/>
          <w:rtl/>
          <w:lang w:eastAsia="he-IL"/>
        </w:rPr>
        <w:t>דמים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טמאים הם </w:t>
      </w:r>
      <w:r w:rsidRPr="00C71F58">
        <w:rPr>
          <w:rFonts w:ascii="Times New Roman" w:eastAsia="Times New Roman" w:hAnsi="Times New Roman" w:cs="MiriamMFO" w:hint="cs"/>
          <w:sz w:val="21"/>
          <w:rtl/>
          <w:lang w:eastAsia="he-IL"/>
        </w:rPr>
        <w:t>דמיונות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שיוצרים ב"ימים </w:t>
      </w:r>
      <w:r w:rsidRPr="00C71F58">
        <w:rPr>
          <w:rFonts w:ascii="Times New Roman" w:eastAsia="Times New Roman" w:hAnsi="Times New Roman" w:cs="MiriamMFO" w:hint="cs"/>
          <w:sz w:val="21"/>
          <w:rtl/>
          <w:lang w:eastAsia="he-IL"/>
        </w:rPr>
        <w:t>רבים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" תחושה של פירוד ו</w:t>
      </w:r>
      <w:r w:rsidRPr="00C71F58">
        <w:rPr>
          <w:rFonts w:ascii="Times New Roman" w:eastAsia="Times New Roman" w:hAnsi="Times New Roman" w:cs="MiriamMFO" w:hint="cs"/>
          <w:sz w:val="21"/>
          <w:rtl/>
          <w:lang w:eastAsia="he-IL"/>
        </w:rPr>
        <w:t>ריבוי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(לעומת ה</w:t>
      </w:r>
      <w:r w:rsidRPr="00C71F58">
        <w:rPr>
          <w:rFonts w:ascii="Times New Roman" w:eastAsia="Times New Roman" w:hAnsi="Times New Roman" w:cs="MiriamMFO" w:hint="cs"/>
          <w:sz w:val="21"/>
          <w:rtl/>
          <w:lang w:eastAsia="he-IL"/>
        </w:rPr>
        <w:t>אחדות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המורגשת ב"ימים </w:t>
      </w:r>
      <w:r w:rsidRPr="00C71F58">
        <w:rPr>
          <w:rFonts w:ascii="Times New Roman" w:eastAsia="Times New Roman" w:hAnsi="Times New Roman" w:cs="MiriamMFO" w:hint="cs"/>
          <w:sz w:val="21"/>
          <w:rtl/>
          <w:lang w:eastAsia="he-IL"/>
        </w:rPr>
        <w:t>אחדים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").</w:t>
      </w:r>
    </w:p>
    <w:p w:rsidR="00C71F58" w:rsidRPr="00C71F58" w:rsidRDefault="00C71F58" w:rsidP="00C71F58">
      <w:pPr>
        <w:spacing w:after="120" w:line="330" w:lineRule="exact"/>
        <w:jc w:val="both"/>
        <w:rPr>
          <w:rFonts w:ascii="Times New Roman" w:eastAsia="Times New Roman" w:hAnsi="Times New Roman" w:cs="oprFrank" w:hint="cs"/>
          <w:sz w:val="26"/>
          <w:szCs w:val="26"/>
          <w:rtl/>
        </w:rPr>
      </w:pPr>
      <w:r w:rsidRPr="00C71F58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גם בתפלה, 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ריבוי המחשבות מבלבל את התפלה לפני "הוי' אחד" משום שהוא יוצר דמיון של ריבוי ונפרדות במציאות ונקיות הדעת לתפלה תלויה בטהרה מדמיונות הריבוי הללו וחזרה לתחושת האחדות. והרמז: "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ימים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רבים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" (ההופכים להיות) "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ימים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אחדים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"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בגימטריא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תפלה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. [מספר זה עולה גם "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דרך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ארץ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" </w:t>
      </w:r>
      <w:r w:rsidRPr="00C71F58">
        <w:rPr>
          <w:rFonts w:ascii="Times New Roman" w:eastAsia="Times New Roman" w:hAnsi="Times New Roman" w:cs="oprFrank"/>
          <w:sz w:val="26"/>
          <w:szCs w:val="26"/>
          <w:rtl/>
        </w:rPr>
        <w:t>–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כינוי גם לזיווג האיש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והאשה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בטהרה (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הכל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בסוד "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דרך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ארץ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קדמה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לתורה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"</w:t>
      </w:r>
      <w:r w:rsidRPr="00C71F58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</w:rPr>
        <w:endnoteReference w:id="8"/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, שהוא תיקון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ה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אשה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, כאשר מחשבים את ה-</w:t>
      </w:r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א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של </w:t>
      </w:r>
      <w:proofErr w:type="spellStart"/>
      <w:r w:rsidRPr="00C71F58">
        <w:rPr>
          <w:rFonts w:ascii="Times New Roman" w:eastAsia="Times New Roman" w:hAnsi="Times New Roman" w:cs="oprFrank" w:hint="cs"/>
          <w:b/>
          <w:bCs/>
          <w:sz w:val="28"/>
          <w:szCs w:val="27"/>
          <w:rtl/>
        </w:rPr>
        <w:t>אשה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כמספר אלף)].</w:t>
      </w:r>
    </w:p>
    <w:p w:rsidR="005F4A47" w:rsidRDefault="00C71F58" w:rsidP="00C71F58"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lastRenderedPageBreak/>
        <w:t>בכח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ה"הלכה </w:t>
      </w:r>
      <w:r w:rsidRPr="00C71F58">
        <w:rPr>
          <w:rFonts w:ascii="Times New Roman" w:eastAsia="Times New Roman" w:hAnsi="Times New Roman" w:cs="MiriamMFO" w:hint="cs"/>
          <w:sz w:val="21"/>
          <w:rtl/>
          <w:lang w:eastAsia="he-IL"/>
        </w:rPr>
        <w:t>פסוקה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" לקיים "</w:t>
      </w:r>
      <w:r w:rsidRPr="00C71F58">
        <w:rPr>
          <w:rFonts w:ascii="Times New Roman" w:eastAsia="Times New Roman" w:hAnsi="Times New Roman" w:cs="MiriamMFO" w:hint="cs"/>
          <w:sz w:val="21"/>
          <w:rtl/>
          <w:lang w:eastAsia="he-IL"/>
        </w:rPr>
        <w:t>פסיק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רישיה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" בנחש הקדמוני </w:t>
      </w:r>
      <w:r w:rsidRPr="00C71F58">
        <w:rPr>
          <w:rFonts w:ascii="Times New Roman" w:eastAsia="Times New Roman" w:hAnsi="Times New Roman" w:cs="oprFrank"/>
          <w:sz w:val="26"/>
          <w:szCs w:val="26"/>
          <w:rtl/>
        </w:rPr>
        <w:t>–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מקור דמיונות הריבוי והפירוד </w:t>
      </w:r>
      <w:r w:rsidRPr="00C71F58">
        <w:rPr>
          <w:rFonts w:ascii="Times New Roman" w:eastAsia="Times New Roman" w:hAnsi="Times New Roman" w:cs="oprFrank"/>
          <w:sz w:val="26"/>
          <w:szCs w:val="26"/>
          <w:rtl/>
        </w:rPr>
        <w:t>–</w:t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ו"מאן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דקטיל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ליה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לחויא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בישא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יהבין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ליה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ברתא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דמלכא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דאיהי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צלותא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"</w:t>
      </w:r>
      <w:r w:rsidRPr="00C71F58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</w:rPr>
        <w:endnoteReference w:id="9"/>
      </w:r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(הקוטל את הנחש הרע </w:t>
      </w:r>
      <w:proofErr w:type="spellStart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>נותנין</w:t>
      </w:r>
      <w:proofErr w:type="spellEnd"/>
      <w:r w:rsidRPr="00C71F58">
        <w:rPr>
          <w:rFonts w:ascii="Times New Roman" w:eastAsia="Times New Roman" w:hAnsi="Times New Roman" w:cs="oprFrank" w:hint="cs"/>
          <w:sz w:val="26"/>
          <w:szCs w:val="26"/>
          <w:rtl/>
        </w:rPr>
        <w:t xml:space="preserve"> לו את בת המלך שהיא התפלה).</w:t>
      </w:r>
      <w:bookmarkStart w:id="0" w:name="_GoBack"/>
      <w:bookmarkEnd w:id="0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07B" w:rsidRDefault="00E1607B" w:rsidP="00C71F58">
      <w:pPr>
        <w:spacing w:after="0" w:line="240" w:lineRule="auto"/>
      </w:pPr>
      <w:r>
        <w:separator/>
      </w:r>
    </w:p>
  </w:endnote>
  <w:endnote w:type="continuationSeparator" w:id="0">
    <w:p w:rsidR="00E1607B" w:rsidRDefault="00E1607B" w:rsidP="00C71F58">
      <w:pPr>
        <w:spacing w:after="0" w:line="240" w:lineRule="auto"/>
      </w:pPr>
      <w:r>
        <w:continuationSeparator/>
      </w:r>
    </w:p>
  </w:endnote>
  <w:endnote w:id="1">
    <w:p w:rsidR="00C71F58" w:rsidRDefault="00C71F58" w:rsidP="00C71F58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ברכות לא, א. ורמז נאה: בהמשך </w:t>
      </w:r>
      <w:proofErr w:type="spellStart"/>
      <w:r>
        <w:rPr>
          <w:rFonts w:hint="cs"/>
          <w:rtl/>
        </w:rPr>
        <w:t>הסוגיא</w:t>
      </w:r>
      <w:proofErr w:type="spellEnd"/>
      <w:r>
        <w:rPr>
          <w:rFonts w:hint="cs"/>
          <w:rtl/>
        </w:rPr>
        <w:t xml:space="preserve"> אומרת הגמרא כי רב אשי נהג דווקא כדעת הברייתא הזו ("אין </w:t>
      </w:r>
      <w:proofErr w:type="spellStart"/>
      <w:r>
        <w:rPr>
          <w:rFonts w:hint="cs"/>
          <w:rtl/>
        </w:rPr>
        <w:t>עומדין</w:t>
      </w:r>
      <w:proofErr w:type="spellEnd"/>
      <w:r>
        <w:rPr>
          <w:rFonts w:hint="cs"/>
          <w:rtl/>
        </w:rPr>
        <w:t xml:space="preserve"> להתפלל... אלא מתוך הלכה פסוקה")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5E69C9">
        <w:rPr>
          <w:rFonts w:hint="cs"/>
          <w:b/>
          <w:bCs/>
          <w:sz w:val="24"/>
          <w:szCs w:val="24"/>
          <w:rtl/>
        </w:rPr>
        <w:t>רב</w:t>
      </w:r>
      <w:r>
        <w:rPr>
          <w:rFonts w:hint="cs"/>
          <w:rtl/>
        </w:rPr>
        <w:t xml:space="preserve"> </w:t>
      </w:r>
      <w:r w:rsidRPr="005E69C9">
        <w:rPr>
          <w:rFonts w:hint="cs"/>
          <w:b/>
          <w:bCs/>
          <w:sz w:val="24"/>
          <w:szCs w:val="24"/>
          <w:rtl/>
        </w:rPr>
        <w:t>אשי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בגימטריא</w:t>
      </w:r>
      <w:proofErr w:type="spellEnd"/>
      <w:r>
        <w:rPr>
          <w:rFonts w:hint="cs"/>
          <w:rtl/>
        </w:rPr>
        <w:t xml:space="preserve"> </w:t>
      </w:r>
      <w:r w:rsidRPr="005E69C9">
        <w:rPr>
          <w:rFonts w:hint="cs"/>
          <w:b/>
          <w:bCs/>
          <w:sz w:val="24"/>
          <w:szCs w:val="24"/>
          <w:rtl/>
        </w:rPr>
        <w:t>הלכה</w:t>
      </w:r>
      <w:r>
        <w:rPr>
          <w:rFonts w:hint="cs"/>
          <w:rtl/>
        </w:rPr>
        <w:t xml:space="preserve"> </w:t>
      </w:r>
      <w:r w:rsidRPr="005E69C9">
        <w:rPr>
          <w:rFonts w:hint="cs"/>
          <w:b/>
          <w:bCs/>
          <w:sz w:val="24"/>
          <w:szCs w:val="24"/>
          <w:rtl/>
        </w:rPr>
        <w:t>פסוקה</w:t>
      </w:r>
      <w:r>
        <w:rPr>
          <w:rFonts w:hint="cs"/>
          <w:rtl/>
        </w:rPr>
        <w:t xml:space="preserve">! השם </w:t>
      </w:r>
      <w:r w:rsidRPr="00497B1D">
        <w:rPr>
          <w:rFonts w:hint="cs"/>
          <w:b/>
          <w:bCs/>
          <w:sz w:val="24"/>
          <w:szCs w:val="24"/>
          <w:rtl/>
        </w:rPr>
        <w:t>רב</w:t>
      </w:r>
      <w:r>
        <w:rPr>
          <w:rFonts w:hint="cs"/>
          <w:rtl/>
        </w:rPr>
        <w:t xml:space="preserve"> </w:t>
      </w:r>
      <w:r w:rsidRPr="00497B1D">
        <w:rPr>
          <w:rFonts w:hint="cs"/>
          <w:b/>
          <w:bCs/>
          <w:sz w:val="24"/>
          <w:szCs w:val="24"/>
          <w:rtl/>
        </w:rPr>
        <w:t>אשי</w:t>
      </w:r>
      <w:r>
        <w:rPr>
          <w:rFonts w:hint="cs"/>
          <w:rtl/>
        </w:rPr>
        <w:t xml:space="preserve"> מורכב מחמש האותיות הראשונות של התורה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r w:rsidRPr="008779A7">
        <w:rPr>
          <w:rFonts w:hint="cs"/>
          <w:b/>
          <w:bCs/>
          <w:sz w:val="24"/>
          <w:szCs w:val="24"/>
          <w:rtl/>
        </w:rPr>
        <w:t>בראשי</w:t>
      </w:r>
      <w:r>
        <w:rPr>
          <w:rFonts w:hint="cs"/>
          <w:rtl/>
        </w:rPr>
        <w:t xml:space="preserve">ת" </w:t>
      </w:r>
      <w:r>
        <w:rPr>
          <w:rtl/>
        </w:rPr>
        <w:t>–</w:t>
      </w:r>
      <w:r>
        <w:rPr>
          <w:rFonts w:hint="cs"/>
          <w:rtl/>
        </w:rPr>
        <w:t xml:space="preserve"> ולפי הרמז ש"</w:t>
      </w:r>
      <w:r w:rsidRPr="008779A7">
        <w:rPr>
          <w:rFonts w:hint="cs"/>
          <w:b/>
          <w:bCs/>
          <w:sz w:val="24"/>
          <w:szCs w:val="24"/>
          <w:rtl/>
        </w:rPr>
        <w:t>בראשית</w:t>
      </w:r>
      <w:r>
        <w:rPr>
          <w:rFonts w:hint="cs"/>
          <w:rtl/>
        </w:rPr>
        <w:t xml:space="preserve">" אותיות </w:t>
      </w:r>
      <w:r w:rsidRPr="008779A7">
        <w:rPr>
          <w:rFonts w:hint="cs"/>
          <w:b/>
          <w:bCs/>
          <w:sz w:val="24"/>
          <w:szCs w:val="24"/>
          <w:rtl/>
        </w:rPr>
        <w:t>בית</w:t>
      </w:r>
      <w:r>
        <w:rPr>
          <w:rFonts w:hint="cs"/>
          <w:rtl/>
        </w:rPr>
        <w:t xml:space="preserve"> </w:t>
      </w:r>
      <w:r w:rsidRPr="008779A7">
        <w:rPr>
          <w:rFonts w:hint="cs"/>
          <w:b/>
          <w:bCs/>
          <w:sz w:val="24"/>
          <w:szCs w:val="24"/>
          <w:rtl/>
        </w:rPr>
        <w:t>אשר</w:t>
      </w:r>
      <w:r>
        <w:rPr>
          <w:rFonts w:hint="cs"/>
          <w:rtl/>
        </w:rPr>
        <w:t xml:space="preserve"> הרי ש</w:t>
      </w:r>
      <w:r w:rsidRPr="00497B1D">
        <w:rPr>
          <w:rFonts w:hint="cs"/>
          <w:b/>
          <w:bCs/>
          <w:sz w:val="24"/>
          <w:szCs w:val="24"/>
          <w:rtl/>
        </w:rPr>
        <w:t>רב</w:t>
      </w:r>
      <w:r>
        <w:rPr>
          <w:rFonts w:hint="cs"/>
          <w:rtl/>
        </w:rPr>
        <w:t xml:space="preserve"> </w:t>
      </w:r>
      <w:r w:rsidRPr="00497B1D">
        <w:rPr>
          <w:rFonts w:hint="cs"/>
          <w:b/>
          <w:bCs/>
          <w:sz w:val="24"/>
          <w:szCs w:val="24"/>
          <w:rtl/>
        </w:rPr>
        <w:t>אשי</w:t>
      </w:r>
      <w:r>
        <w:rPr>
          <w:rFonts w:hint="cs"/>
          <w:rtl/>
        </w:rPr>
        <w:t xml:space="preserve"> אותיות </w:t>
      </w:r>
      <w:r w:rsidRPr="00497B1D">
        <w:rPr>
          <w:rFonts w:hint="cs"/>
          <w:b/>
          <w:bCs/>
          <w:sz w:val="24"/>
          <w:szCs w:val="24"/>
          <w:rtl/>
        </w:rPr>
        <w:t>בי</w:t>
      </w:r>
      <w:r>
        <w:rPr>
          <w:rFonts w:hint="cs"/>
          <w:rtl/>
        </w:rPr>
        <w:t xml:space="preserve"> </w:t>
      </w:r>
      <w:r w:rsidRPr="00497B1D">
        <w:rPr>
          <w:rFonts w:hint="cs"/>
          <w:b/>
          <w:bCs/>
          <w:sz w:val="24"/>
          <w:szCs w:val="24"/>
          <w:rtl/>
        </w:rPr>
        <w:t>אשר</w:t>
      </w:r>
      <w:r>
        <w:rPr>
          <w:rFonts w:hint="cs"/>
          <w:rtl/>
        </w:rPr>
        <w:t xml:space="preserve"> ("בי" הוא "בית" בארמית), רמז לסגולת האושר לבית היהודי שיש בהלכה הפסוקה של חומרת בנות ישראל.</w:t>
      </w:r>
    </w:p>
  </w:endnote>
  <w:endnote w:id="2">
    <w:p w:rsidR="00C71F58" w:rsidRDefault="00C71F58" w:rsidP="00C71F58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כך ביאר בעל </w:t>
      </w:r>
      <w:proofErr w:type="spellStart"/>
      <w:r>
        <w:rPr>
          <w:rFonts w:hint="cs"/>
          <w:rtl/>
        </w:rPr>
        <w:t>האמרי</w:t>
      </w:r>
      <w:proofErr w:type="spellEnd"/>
      <w:r>
        <w:rPr>
          <w:rFonts w:hint="cs"/>
          <w:rtl/>
        </w:rPr>
        <w:t xml:space="preserve"> אמת (ערב יום הכפורים תרע"ה ד"ה "ואותי יום יום </w:t>
      </w:r>
      <w:proofErr w:type="spellStart"/>
      <w:r>
        <w:rPr>
          <w:rFonts w:hint="cs"/>
          <w:rtl/>
        </w:rPr>
        <w:t>ידרשון</w:t>
      </w:r>
      <w:proofErr w:type="spellEnd"/>
      <w:r>
        <w:rPr>
          <w:rFonts w:hint="cs"/>
          <w:rtl/>
        </w:rPr>
        <w:t xml:space="preserve">") כי ה"הלכה פסוקה" של "בנות ישראל החמירו על עצמן וכו' יושבת עליו שבעה נקיים" רומזת להפרשת כהן גדול מביתו שבעת ימים קודם יום הכיפורים לשם הכנה לעבודת היום הקדוש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משום ש"תפלה צריכה מקודם טהרת הלב".</w:t>
      </w:r>
    </w:p>
  </w:endnote>
  <w:endnote w:id="3">
    <w:p w:rsidR="00C71F58" w:rsidRDefault="00C71F58" w:rsidP="00C71F58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ברכות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>, א.</w:t>
      </w:r>
    </w:p>
  </w:endnote>
  <w:endnote w:id="4">
    <w:p w:rsidR="00C71F58" w:rsidRDefault="00C71F58" w:rsidP="00C71F58">
      <w:pPr>
        <w:pStyle w:val="a3"/>
        <w:rPr>
          <w:rFonts w:hint="cs"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תניא </w:t>
      </w:r>
      <w:proofErr w:type="spellStart"/>
      <w:r>
        <w:rPr>
          <w:rFonts w:hint="cs"/>
          <w:rtl/>
        </w:rPr>
        <w:t>פי"ג</w:t>
      </w:r>
      <w:proofErr w:type="spellEnd"/>
      <w:r>
        <w:rPr>
          <w:rFonts w:hint="cs"/>
          <w:rtl/>
        </w:rPr>
        <w:t>.</w:t>
      </w:r>
    </w:p>
  </w:endnote>
  <w:endnote w:id="5">
    <w:p w:rsidR="00C71F58" w:rsidRDefault="00C71F58" w:rsidP="00C71F58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משלי לא, ל.</w:t>
      </w:r>
    </w:p>
  </w:endnote>
  <w:endnote w:id="6">
    <w:p w:rsidR="00C71F58" w:rsidRDefault="00C71F58" w:rsidP="00C71F58">
      <w:pPr>
        <w:pStyle w:val="a3"/>
        <w:rPr>
          <w:rFonts w:hint="cs"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ויקרא טו, כה-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.</w:t>
      </w:r>
    </w:p>
  </w:endnote>
  <w:endnote w:id="7">
    <w:p w:rsidR="00C71F58" w:rsidRDefault="00C71F58" w:rsidP="00C71F58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ויקרא רבה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, ה ובכ"ד.</w:t>
      </w:r>
    </w:p>
  </w:endnote>
  <w:endnote w:id="8">
    <w:p w:rsidR="00C71F58" w:rsidRDefault="00C71F58" w:rsidP="00C71F58">
      <w:pPr>
        <w:pStyle w:val="a3"/>
        <w:rPr>
          <w:rFonts w:hint="cs"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תנא דבי אליהו רפ"א.</w:t>
      </w:r>
    </w:p>
  </w:endnote>
  <w:endnote w:id="9">
    <w:p w:rsidR="00C71F58" w:rsidRDefault="00C71F58" w:rsidP="00C71F58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עפ"י הקדמת </w:t>
      </w:r>
      <w:proofErr w:type="spellStart"/>
      <w:r>
        <w:rPr>
          <w:rFonts w:hint="cs"/>
          <w:rtl/>
        </w:rPr>
        <w:t>תקו"ז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כט</w:t>
      </w:r>
      <w:proofErr w:type="spellEnd"/>
      <w:r>
        <w:rPr>
          <w:rFonts w:hint="cs"/>
          <w:rtl/>
        </w:rPr>
        <w:t xml:space="preserve">, ב). ראה גם </w:t>
      </w:r>
      <w:proofErr w:type="spellStart"/>
      <w:r>
        <w:rPr>
          <w:rFonts w:hint="cs"/>
          <w:rtl/>
        </w:rPr>
        <w:t>לקו"ת</w:t>
      </w:r>
      <w:proofErr w:type="spellEnd"/>
      <w:r>
        <w:rPr>
          <w:rFonts w:hint="cs"/>
          <w:rtl/>
        </w:rPr>
        <w:t xml:space="preserve"> פרשת כי תצא (לה, ג).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oprFrank">
    <w:altName w:val="Courier New"/>
    <w:charset w:val="00"/>
    <w:family w:val="auto"/>
    <w:pitch w:val="variable"/>
    <w:sig w:usb0="00000000" w:usb1="5000004A" w:usb2="00000000" w:usb3="00000000" w:csb0="00000021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07B" w:rsidRDefault="00E1607B" w:rsidP="00C71F58">
      <w:pPr>
        <w:spacing w:after="0" w:line="240" w:lineRule="auto"/>
      </w:pPr>
      <w:r>
        <w:separator/>
      </w:r>
    </w:p>
  </w:footnote>
  <w:footnote w:type="continuationSeparator" w:id="0">
    <w:p w:rsidR="00E1607B" w:rsidRDefault="00E1607B" w:rsidP="00C71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6BB"/>
    <w:rsid w:val="00061E65"/>
    <w:rsid w:val="00A906BB"/>
    <w:rsid w:val="00AC2310"/>
    <w:rsid w:val="00C71F58"/>
    <w:rsid w:val="00E1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C71F58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סיום תו"/>
    <w:basedOn w:val="a0"/>
    <w:link w:val="a3"/>
    <w:uiPriority w:val="99"/>
    <w:semiHidden/>
    <w:rsid w:val="00C71F5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C71F58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סיום תו"/>
    <w:basedOn w:val="a0"/>
    <w:link w:val="a3"/>
    <w:uiPriority w:val="99"/>
    <w:semiHidden/>
    <w:rsid w:val="00C71F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2017-08-16T11:31:00Z</dcterms:created>
  <dcterms:modified xsi:type="dcterms:W3CDTF">2017-08-16T11:31:00Z</dcterms:modified>
</cp:coreProperties>
</file>