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9B" w:rsidRPr="005E282F" w:rsidRDefault="0061749B" w:rsidP="0061749B">
      <w:pPr>
        <w:pStyle w:val="2"/>
        <w:rPr>
          <w:rFonts w:hint="cs"/>
          <w:rtl/>
        </w:rPr>
      </w:pPr>
      <w:r w:rsidRPr="005E282F">
        <w:rPr>
          <w:rFonts w:hint="cs"/>
          <w:rtl/>
        </w:rPr>
        <w:t>ארץ זבת חלב ודבש</w:t>
      </w:r>
    </w:p>
    <w:p w:rsidR="0061749B" w:rsidRDefault="0061749B" w:rsidP="0061749B">
      <w:pPr>
        <w:pStyle w:val="a8"/>
        <w:framePr w:wrap="around"/>
        <w:rPr>
          <w:rFonts w:hint="cs"/>
          <w:rtl/>
        </w:rPr>
      </w:pPr>
      <w:r>
        <w:rPr>
          <w:rFonts w:hint="cs"/>
          <w:rtl/>
        </w:rPr>
        <w:t>מ</w:t>
      </w:r>
    </w:p>
    <w:p w:rsidR="0061749B" w:rsidRDefault="0061749B" w:rsidP="0061749B">
      <w:pPr>
        <w:widowControl w:val="0"/>
        <w:rPr>
          <w:rFonts w:hint="cs"/>
          <w:rtl/>
        </w:rPr>
      </w:pPr>
      <w:r>
        <w:rPr>
          <w:rFonts w:hint="cs"/>
          <w:rtl/>
        </w:rPr>
        <w:t xml:space="preserve">דין תורה ספירת שבעה נקיים נועדה ל"זבה גדולה", דהיינו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שראתה דם שלשה ימים "בלא עת </w:t>
      </w:r>
      <w:proofErr w:type="spellStart"/>
      <w:r>
        <w:rPr>
          <w:rFonts w:hint="cs"/>
          <w:rtl/>
        </w:rPr>
        <w:t>נדתה</w:t>
      </w:r>
      <w:proofErr w:type="spellEnd"/>
      <w:r>
        <w:rPr>
          <w:rFonts w:hint="cs"/>
          <w:rtl/>
        </w:rPr>
        <w:t xml:space="preserve">", ובלשון הפסוק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כי יזוב זוב דמה ימים רבים"</w:t>
      </w:r>
      <w:r>
        <w:rPr>
          <w:rStyle w:val="a6"/>
          <w:rtl/>
        </w:rPr>
        <w:endnoteReference w:id="1"/>
      </w:r>
      <w:r>
        <w:rPr>
          <w:rFonts w:hint="cs"/>
          <w:rtl/>
        </w:rPr>
        <w:t xml:space="preserve"> (וחז"ל אף מציינים כי "ימים רבים" הם ביטוי ל"ימי צער"</w:t>
      </w:r>
      <w:r>
        <w:rPr>
          <w:rStyle w:val="a6"/>
          <w:rtl/>
        </w:rPr>
        <w:endnoteReference w:id="2"/>
      </w:r>
      <w:r>
        <w:rPr>
          <w:rFonts w:hint="cs"/>
          <w:rtl/>
        </w:rPr>
        <w:t>). התיקון לצער ה"</w:t>
      </w:r>
      <w:r w:rsidRPr="002206B3">
        <w:rPr>
          <w:rFonts w:hint="cs"/>
          <w:b/>
          <w:bCs/>
          <w:sz w:val="28"/>
          <w:szCs w:val="27"/>
          <w:rtl/>
        </w:rPr>
        <w:t>ימים</w:t>
      </w:r>
      <w:r>
        <w:rPr>
          <w:rFonts w:hint="cs"/>
          <w:rtl/>
        </w:rPr>
        <w:t xml:space="preserve"> </w:t>
      </w:r>
      <w:r w:rsidRPr="002206B3">
        <w:rPr>
          <w:rFonts w:hint="cs"/>
          <w:b/>
          <w:bCs/>
          <w:sz w:val="28"/>
          <w:szCs w:val="27"/>
          <w:rtl/>
        </w:rPr>
        <w:t>רבים</w:t>
      </w:r>
      <w:r>
        <w:rPr>
          <w:rFonts w:hint="cs"/>
          <w:rtl/>
        </w:rPr>
        <w:t>" הוא מדת "</w:t>
      </w:r>
      <w:r w:rsidRPr="002206B3">
        <w:rPr>
          <w:rFonts w:hint="cs"/>
          <w:b/>
          <w:bCs/>
          <w:sz w:val="28"/>
          <w:szCs w:val="27"/>
          <w:rtl/>
        </w:rPr>
        <w:t>ארך</w:t>
      </w:r>
      <w:r>
        <w:rPr>
          <w:rFonts w:hint="cs"/>
          <w:rtl/>
        </w:rPr>
        <w:t xml:space="preserve"> </w:t>
      </w:r>
      <w:r w:rsidRPr="002206B3">
        <w:rPr>
          <w:rFonts w:hint="cs"/>
          <w:b/>
          <w:bCs/>
          <w:sz w:val="28"/>
          <w:szCs w:val="27"/>
          <w:rtl/>
        </w:rPr>
        <w:t>אפים</w:t>
      </w:r>
      <w:r>
        <w:rPr>
          <w:rFonts w:hint="cs"/>
          <w:rtl/>
        </w:rPr>
        <w:t>"</w:t>
      </w:r>
      <w:r>
        <w:rPr>
          <w:rStyle w:val="a6"/>
          <w:rtl/>
        </w:rPr>
        <w:endnoteReference w:id="3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הסבלנות הנדרשת בספירת שבעה נקיים. מדת "</w:t>
      </w:r>
      <w:r w:rsidRPr="002206B3">
        <w:rPr>
          <w:rFonts w:hint="cs"/>
          <w:b/>
          <w:bCs/>
          <w:sz w:val="28"/>
          <w:szCs w:val="27"/>
          <w:rtl/>
        </w:rPr>
        <w:t>ארך</w:t>
      </w:r>
      <w:r>
        <w:rPr>
          <w:rFonts w:hint="cs"/>
          <w:rtl/>
        </w:rPr>
        <w:t xml:space="preserve"> </w:t>
      </w:r>
      <w:r w:rsidRPr="002206B3">
        <w:rPr>
          <w:rFonts w:hint="cs"/>
          <w:b/>
          <w:bCs/>
          <w:sz w:val="28"/>
          <w:szCs w:val="27"/>
          <w:rtl/>
        </w:rPr>
        <w:t>אפים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המדה</w:t>
      </w:r>
      <w:proofErr w:type="spellEnd"/>
      <w:r>
        <w:rPr>
          <w:rFonts w:hint="cs"/>
          <w:rtl/>
        </w:rPr>
        <w:t xml:space="preserve"> העיקרית שצריכה לשרור בין בני הזוג</w:t>
      </w:r>
      <w:bookmarkStart w:id="0" w:name="_Ref374231432"/>
      <w:r>
        <w:rPr>
          <w:rStyle w:val="a6"/>
          <w:rtl/>
        </w:rPr>
        <w:endnoteReference w:id="4"/>
      </w:r>
      <w:bookmarkEnd w:id="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היא מדת ארץ ישראל</w:t>
      </w:r>
      <w:r w:rsidRPr="00A56127">
        <w:rPr>
          <w:rStyle w:val="a6"/>
          <w:rtl/>
        </w:rPr>
        <w:fldChar w:fldCharType="begin"/>
      </w:r>
      <w:r w:rsidRPr="00A56127">
        <w:rPr>
          <w:rStyle w:val="a6"/>
          <w:rtl/>
        </w:rPr>
        <w:instrText xml:space="preserve"> </w:instrText>
      </w:r>
      <w:r w:rsidRPr="00A56127">
        <w:rPr>
          <w:rStyle w:val="a6"/>
          <w:rFonts w:hint="cs"/>
        </w:rPr>
        <w:instrText>NOTEREF</w:instrText>
      </w:r>
      <w:r w:rsidRPr="00A56127">
        <w:rPr>
          <w:rStyle w:val="a6"/>
          <w:rFonts w:hint="cs"/>
          <w:rtl/>
        </w:rPr>
        <w:instrText xml:space="preserve"> _</w:instrText>
      </w:r>
      <w:r w:rsidRPr="00A56127">
        <w:rPr>
          <w:rStyle w:val="a6"/>
          <w:rFonts w:hint="cs"/>
        </w:rPr>
        <w:instrText>Ref374231432 \h</w:instrText>
      </w:r>
      <w:r w:rsidRPr="00A56127">
        <w:rPr>
          <w:rStyle w:val="a6"/>
          <w:rtl/>
        </w:rPr>
        <w:instrText xml:space="preserve"> </w:instrText>
      </w:r>
      <w:r w:rsidRPr="00A56127">
        <w:rPr>
          <w:rStyle w:val="a6"/>
        </w:rPr>
      </w:r>
      <w:r>
        <w:rPr>
          <w:rStyle w:val="a6"/>
        </w:rPr>
        <w:instrText xml:space="preserve"> \* MERGEFORMAT </w:instrText>
      </w:r>
      <w:r w:rsidRPr="00A56127">
        <w:rPr>
          <w:rStyle w:val="a6"/>
          <w:rtl/>
        </w:rPr>
        <w:fldChar w:fldCharType="separate"/>
      </w:r>
      <w:r>
        <w:rPr>
          <w:rStyle w:val="a6"/>
          <w:rtl/>
        </w:rPr>
        <w:t>ד</w:t>
      </w:r>
      <w:r w:rsidRPr="00A56127">
        <w:rPr>
          <w:rStyle w:val="a6"/>
          <w:rtl/>
        </w:rPr>
        <w:fldChar w:fldCharType="end"/>
      </w:r>
      <w:r>
        <w:rPr>
          <w:rFonts w:hint="cs"/>
          <w:rtl/>
        </w:rPr>
        <w:t>, והיא הופכת את ה"</w:t>
      </w:r>
      <w:r w:rsidRPr="0058664F">
        <w:rPr>
          <w:rStyle w:val="a3"/>
          <w:rFonts w:hint="cs"/>
          <w:rtl/>
        </w:rPr>
        <w:t>יזוב</w:t>
      </w:r>
      <w:r>
        <w:rPr>
          <w:rFonts w:hint="cs"/>
          <w:rtl/>
        </w:rPr>
        <w:t xml:space="preserve"> </w:t>
      </w:r>
      <w:r w:rsidRPr="0058664F">
        <w:rPr>
          <w:rStyle w:val="a3"/>
          <w:rFonts w:hint="cs"/>
          <w:rtl/>
        </w:rPr>
        <w:t>זוב</w:t>
      </w:r>
      <w:r>
        <w:rPr>
          <w:rFonts w:hint="cs"/>
          <w:rtl/>
        </w:rPr>
        <w:t xml:space="preserve"> דמה" ל"ארץ </w:t>
      </w:r>
      <w:r w:rsidRPr="0058664F">
        <w:rPr>
          <w:rStyle w:val="a3"/>
          <w:rFonts w:hint="cs"/>
          <w:rtl/>
        </w:rPr>
        <w:t>זבת</w:t>
      </w:r>
      <w:r>
        <w:rPr>
          <w:rFonts w:hint="cs"/>
          <w:rtl/>
        </w:rPr>
        <w:t xml:space="preserve"> </w:t>
      </w:r>
      <w:r w:rsidRPr="002206B3">
        <w:rPr>
          <w:rFonts w:hint="cs"/>
          <w:b/>
          <w:bCs/>
          <w:sz w:val="28"/>
          <w:szCs w:val="27"/>
          <w:rtl/>
        </w:rPr>
        <w:t>חלב</w:t>
      </w:r>
      <w:r>
        <w:rPr>
          <w:rFonts w:hint="cs"/>
          <w:rtl/>
        </w:rPr>
        <w:t xml:space="preserve"> </w:t>
      </w:r>
      <w:r w:rsidRPr="002206B3">
        <w:rPr>
          <w:rFonts w:hint="cs"/>
          <w:b/>
          <w:bCs/>
          <w:sz w:val="28"/>
          <w:szCs w:val="27"/>
          <w:rtl/>
        </w:rPr>
        <w:t>ודבש</w:t>
      </w:r>
      <w:r>
        <w:rPr>
          <w:rFonts w:hint="cs"/>
          <w:rtl/>
        </w:rPr>
        <w:t>"</w:t>
      </w:r>
      <w:r>
        <w:rPr>
          <w:rStyle w:val="a6"/>
          <w:rtl/>
        </w:rPr>
        <w:endnoteReference w:id="5"/>
      </w:r>
      <w:r>
        <w:rPr>
          <w:rFonts w:hint="cs"/>
          <w:rtl/>
        </w:rPr>
        <w:t xml:space="preserve"> (והרמז: "</w:t>
      </w:r>
      <w:r w:rsidRPr="002206B3">
        <w:rPr>
          <w:rFonts w:hint="cs"/>
          <w:b/>
          <w:bCs/>
          <w:sz w:val="28"/>
          <w:szCs w:val="27"/>
          <w:rtl/>
        </w:rPr>
        <w:t>ימים</w:t>
      </w:r>
      <w:r>
        <w:rPr>
          <w:rFonts w:hint="cs"/>
          <w:rtl/>
        </w:rPr>
        <w:t xml:space="preserve"> </w:t>
      </w:r>
      <w:r w:rsidRPr="002206B3">
        <w:rPr>
          <w:rFonts w:hint="cs"/>
          <w:b/>
          <w:bCs/>
          <w:sz w:val="28"/>
          <w:szCs w:val="27"/>
          <w:rtl/>
        </w:rPr>
        <w:t>רבים</w:t>
      </w:r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"</w:t>
      </w:r>
      <w:r w:rsidRPr="002206B3">
        <w:rPr>
          <w:rFonts w:hint="cs"/>
          <w:b/>
          <w:bCs/>
          <w:sz w:val="28"/>
          <w:szCs w:val="27"/>
          <w:rtl/>
        </w:rPr>
        <w:t>ארך</w:t>
      </w:r>
      <w:r>
        <w:rPr>
          <w:rFonts w:hint="cs"/>
          <w:rtl/>
        </w:rPr>
        <w:t xml:space="preserve"> </w:t>
      </w:r>
      <w:r w:rsidRPr="002206B3">
        <w:rPr>
          <w:rFonts w:hint="cs"/>
          <w:b/>
          <w:bCs/>
          <w:sz w:val="28"/>
          <w:szCs w:val="27"/>
          <w:rtl/>
        </w:rPr>
        <w:t>אפים</w:t>
      </w:r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"</w:t>
      </w:r>
      <w:r w:rsidRPr="002206B3">
        <w:rPr>
          <w:rFonts w:hint="cs"/>
          <w:b/>
          <w:bCs/>
          <w:sz w:val="28"/>
          <w:szCs w:val="27"/>
          <w:rtl/>
        </w:rPr>
        <w:t>חלב</w:t>
      </w:r>
      <w:r>
        <w:rPr>
          <w:rFonts w:hint="cs"/>
          <w:rtl/>
        </w:rPr>
        <w:t xml:space="preserve"> </w:t>
      </w:r>
      <w:r w:rsidRPr="002206B3">
        <w:rPr>
          <w:rFonts w:hint="cs"/>
          <w:b/>
          <w:bCs/>
          <w:sz w:val="28"/>
          <w:szCs w:val="27"/>
          <w:rtl/>
        </w:rPr>
        <w:t>ודבש</w:t>
      </w:r>
      <w:r>
        <w:rPr>
          <w:rFonts w:hint="cs"/>
          <w:rtl/>
        </w:rPr>
        <w:t>").</w:t>
      </w:r>
    </w:p>
    <w:p w:rsidR="0061749B" w:rsidRDefault="0061749B" w:rsidP="0061749B">
      <w:pPr>
        <w:widowControl w:val="0"/>
        <w:rPr>
          <w:rFonts w:hint="cs"/>
          <w:rtl/>
        </w:rPr>
      </w:pPr>
      <w:r>
        <w:rPr>
          <w:rFonts w:hint="cs"/>
          <w:rtl/>
        </w:rPr>
        <w:t>אכן, בנות ישראל ראו ברוח קדשן כי אותו תיקון סבלני שהתורה מעניקה לבני זוג במקרה של "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כי יזוב זוב דמה ימים רבים" נדרש לשלמות הקשר בין בני הזוג לעתים תדירות יותר, בכל מקרה של "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כי תהיה זבה דם יהיה זֹבה בבשרה"</w:t>
      </w:r>
      <w:r>
        <w:rPr>
          <w:rStyle w:val="a6"/>
          <w:rtl/>
        </w:rPr>
        <w:endnoteReference w:id="6"/>
      </w:r>
      <w:r>
        <w:rPr>
          <w:rFonts w:hint="cs"/>
          <w:rtl/>
        </w:rPr>
        <w:t>: "</w:t>
      </w:r>
      <w:r w:rsidRPr="004A5F80">
        <w:rPr>
          <w:rtl/>
          <w:lang w:eastAsia="en-US"/>
        </w:rPr>
        <w:t xml:space="preserve">אמר רבי </w:t>
      </w:r>
      <w:proofErr w:type="spellStart"/>
      <w:r w:rsidRPr="004A5F80">
        <w:rPr>
          <w:rtl/>
          <w:lang w:eastAsia="en-US"/>
        </w:rPr>
        <w:t>זירא</w:t>
      </w:r>
      <w:proofErr w:type="spellEnd"/>
      <w:r w:rsidRPr="004A5F80">
        <w:rPr>
          <w:rtl/>
          <w:lang w:eastAsia="en-US"/>
        </w:rPr>
        <w:t xml:space="preserve"> בנות ישראל החמירו על עצמן שאפילו רואות טיפת דם כחרדל יושבת עליה שבעה נקיים</w:t>
      </w:r>
      <w:r>
        <w:rPr>
          <w:rFonts w:hint="cs"/>
          <w:rtl/>
          <w:lang w:eastAsia="en-US"/>
        </w:rPr>
        <w:t>"</w:t>
      </w:r>
      <w:r>
        <w:rPr>
          <w:rStyle w:val="a6"/>
          <w:rtl/>
          <w:lang w:eastAsia="en-US"/>
        </w:rPr>
        <w:endnoteReference w:id="7"/>
      </w:r>
      <w:r>
        <w:rPr>
          <w:rFonts w:hint="cs"/>
          <w:rtl/>
          <w:lang w:eastAsia="en-US"/>
        </w:rPr>
        <w:t>.</w:t>
      </w:r>
      <w:r>
        <w:rPr>
          <w:rFonts w:hint="cs"/>
          <w:rtl/>
        </w:rPr>
        <w:t xml:space="preserve"> </w:t>
      </w:r>
    </w:p>
    <w:p w:rsidR="0061749B" w:rsidRDefault="0061749B" w:rsidP="0061749B">
      <w:pPr>
        <w:widowControl w:val="0"/>
        <w:rPr>
          <w:rFonts w:hint="cs"/>
          <w:rtl/>
        </w:rPr>
      </w:pPr>
      <w:r>
        <w:rPr>
          <w:rFonts w:hint="cs"/>
          <w:rtl/>
        </w:rPr>
        <w:t xml:space="preserve">גם כאן מורגש הקשר המיוחד לארץ ישראל. שהרי, בעל </w:t>
      </w:r>
      <w:proofErr w:type="spellStart"/>
      <w:r>
        <w:rPr>
          <w:rFonts w:hint="cs"/>
          <w:rtl/>
        </w:rPr>
        <w:t>המימרא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רבי </w:t>
      </w:r>
      <w:proofErr w:type="spellStart"/>
      <w:r>
        <w:rPr>
          <w:rFonts w:hint="cs"/>
          <w:rtl/>
        </w:rPr>
        <w:t>זירא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דמות מובהקת של יהודי העולה מבבל לארץ ישראל</w:t>
      </w:r>
      <w:r>
        <w:rPr>
          <w:rStyle w:val="a6"/>
          <w:rtl/>
        </w:rPr>
        <w:endnoteReference w:id="8"/>
      </w:r>
      <w:r>
        <w:rPr>
          <w:rFonts w:hint="cs"/>
          <w:rtl/>
        </w:rPr>
        <w:t xml:space="preserve"> ומתורת בבל לתורת ארץ ישראל</w:t>
      </w:r>
      <w:r>
        <w:rPr>
          <w:rStyle w:val="a6"/>
          <w:rtl/>
        </w:rPr>
        <w:endnoteReference w:id="9"/>
      </w:r>
      <w:r>
        <w:rPr>
          <w:rFonts w:hint="cs"/>
          <w:rtl/>
        </w:rPr>
        <w:t xml:space="preserve"> (במקום נוסף</w:t>
      </w:r>
      <w:r>
        <w:rPr>
          <w:rStyle w:val="a6"/>
          <w:rtl/>
        </w:rPr>
        <w:endnoteReference w:id="10"/>
      </w:r>
      <w:r>
        <w:rPr>
          <w:rFonts w:hint="cs"/>
          <w:rtl/>
        </w:rPr>
        <w:t xml:space="preserve"> מופיעה מימרת רבי </w:t>
      </w:r>
      <w:proofErr w:type="spellStart"/>
      <w:r>
        <w:rPr>
          <w:rFonts w:hint="cs"/>
          <w:rtl/>
        </w:rPr>
        <w:t>זירא</w:t>
      </w:r>
      <w:proofErr w:type="spellEnd"/>
      <w:r>
        <w:rPr>
          <w:rFonts w:hint="cs"/>
          <w:rtl/>
        </w:rPr>
        <w:t xml:space="preserve"> בפיו של ריש לקיש</w:t>
      </w:r>
      <w:r>
        <w:rPr>
          <w:rStyle w:val="a6"/>
          <w:rtl/>
        </w:rPr>
        <w:endnoteReference w:id="11"/>
      </w:r>
      <w:r>
        <w:rPr>
          <w:rFonts w:hint="cs"/>
          <w:rtl/>
        </w:rPr>
        <w:t xml:space="preserve">, כהלכה אותה הוא לימד אדם ששימש אותו כדי שיחשב לתלמידו, מיד לאחר שמתוארת מעלת ריש לקיש כאחד מ"תקיפי דארעא </w:t>
      </w:r>
      <w:proofErr w:type="spellStart"/>
      <w:r>
        <w:rPr>
          <w:rFonts w:hint="cs"/>
          <w:rtl/>
        </w:rPr>
        <w:t>דישראל</w:t>
      </w:r>
      <w:proofErr w:type="spellEnd"/>
      <w:r>
        <w:rPr>
          <w:rFonts w:hint="cs"/>
          <w:rtl/>
        </w:rPr>
        <w:t xml:space="preserve">"). </w:t>
      </w:r>
    </w:p>
    <w:p w:rsidR="0061749B" w:rsidRDefault="0061749B" w:rsidP="0061749B">
      <w:pPr>
        <w:widowControl w:val="0"/>
        <w:rPr>
          <w:rFonts w:hint="cs"/>
          <w:rtl/>
        </w:rPr>
      </w:pPr>
      <w:r>
        <w:rPr>
          <w:rFonts w:hint="cs"/>
          <w:rtl/>
        </w:rPr>
        <w:t>נמצא שהלכה זו שייכת לשלמות עם ישראל בארץ ישראל דווקא: על ידה עולים לארץ ישראל, ומארץ ישראל לירושלים (שהרי כל הידור בנקיות שייך ל"נקיי הדעת שבירושלים"</w:t>
      </w:r>
      <w:r>
        <w:rPr>
          <w:rStyle w:val="a6"/>
          <w:rtl/>
        </w:rPr>
        <w:endnoteReference w:id="12"/>
      </w:r>
      <w:r>
        <w:rPr>
          <w:rFonts w:hint="cs"/>
          <w:rtl/>
        </w:rPr>
        <w:t xml:space="preserve">), ומירושלים לבית המקדש </w:t>
      </w:r>
      <w:r>
        <w:rPr>
          <w:rtl/>
        </w:rPr>
        <w:t>–</w:t>
      </w:r>
      <w:r>
        <w:rPr>
          <w:rFonts w:hint="cs"/>
          <w:rtl/>
        </w:rPr>
        <w:t xml:space="preserve"> מקום עיקר גילוי השראת ה"שכינה ביניהם"</w:t>
      </w:r>
      <w:r>
        <w:rPr>
          <w:rStyle w:val="a6"/>
          <w:rtl/>
        </w:rPr>
        <w:endnoteReference w:id="13"/>
      </w:r>
      <w:r>
        <w:rPr>
          <w:rFonts w:hint="cs"/>
          <w:rtl/>
        </w:rPr>
        <w:t xml:space="preserve"> בשלמות שלום הבית בין הדוד העליון ורעייתו.</w:t>
      </w:r>
    </w:p>
    <w:p w:rsidR="005F4A47" w:rsidRDefault="0061749B" w:rsidP="0061749B">
      <w:r>
        <w:rPr>
          <w:rFonts w:hint="cs"/>
          <w:rtl/>
        </w:rPr>
        <w:t>ורמז לקינוח: כשם שארץ ישראל היא נקודת המרכז והמעלה של המקום (ה"עולם" בלשון ספר יצירה) כך השבת היא נקודת המרכז והמעלה של הזמן (ה"שנה" בלשון ספר יצירה). והנה, "</w:t>
      </w:r>
      <w:r w:rsidRPr="00C4790E">
        <w:rPr>
          <w:rtl/>
          <w:lang w:eastAsia="en-US"/>
        </w:rPr>
        <w:t xml:space="preserve">[יושבת] </w:t>
      </w:r>
      <w:r w:rsidRPr="002206B3">
        <w:rPr>
          <w:b/>
          <w:bCs/>
          <w:sz w:val="28"/>
          <w:szCs w:val="27"/>
          <w:rtl/>
          <w:lang w:eastAsia="en-US"/>
        </w:rPr>
        <w:t>עליה</w:t>
      </w:r>
      <w:r w:rsidRPr="00C4790E">
        <w:rPr>
          <w:rtl/>
          <w:lang w:eastAsia="en-US"/>
        </w:rPr>
        <w:t xml:space="preserve"> </w:t>
      </w:r>
      <w:r w:rsidRPr="002206B3">
        <w:rPr>
          <w:b/>
          <w:bCs/>
          <w:sz w:val="28"/>
          <w:szCs w:val="27"/>
          <w:rtl/>
          <w:lang w:eastAsia="en-US"/>
        </w:rPr>
        <w:t>שבעה</w:t>
      </w:r>
      <w:r w:rsidRPr="00C4790E">
        <w:rPr>
          <w:rtl/>
          <w:lang w:eastAsia="en-US"/>
        </w:rPr>
        <w:t> </w:t>
      </w:r>
      <w:r w:rsidRPr="002206B3">
        <w:rPr>
          <w:b/>
          <w:bCs/>
          <w:sz w:val="28"/>
          <w:szCs w:val="27"/>
          <w:rtl/>
          <w:lang w:eastAsia="en-US"/>
        </w:rPr>
        <w:t>נקיים</w:t>
      </w:r>
      <w:r>
        <w:rPr>
          <w:rFonts w:hint="cs"/>
          <w:rtl/>
          <w:lang w:eastAsia="en-US"/>
        </w:rPr>
        <w:t>"</w:t>
      </w:r>
      <w:r>
        <w:rPr>
          <w:rStyle w:val="a6"/>
          <w:rtl/>
          <w:lang w:eastAsia="en-US"/>
        </w:rPr>
        <w:endnoteReference w:id="14"/>
      </w:r>
      <w:r>
        <w:rPr>
          <w:rtl/>
          <w:lang w:eastAsia="en-US"/>
        </w:rPr>
        <w:t xml:space="preserve"> </w:t>
      </w:r>
      <w:proofErr w:type="spellStart"/>
      <w:r>
        <w:rPr>
          <w:rFonts w:hint="cs"/>
          <w:rtl/>
          <w:lang w:eastAsia="en-US"/>
        </w:rPr>
        <w:t>בגימטריא</w:t>
      </w:r>
      <w:proofErr w:type="spellEnd"/>
      <w:r w:rsidRPr="00C4790E">
        <w:rPr>
          <w:rtl/>
          <w:lang w:eastAsia="en-US"/>
        </w:rPr>
        <w:t xml:space="preserve"> </w:t>
      </w:r>
      <w:r w:rsidRPr="002206B3">
        <w:rPr>
          <w:b/>
          <w:bCs/>
          <w:sz w:val="28"/>
          <w:szCs w:val="27"/>
          <w:rtl/>
          <w:lang w:eastAsia="en-US"/>
        </w:rPr>
        <w:t>שבת</w:t>
      </w:r>
      <w:r w:rsidRPr="00C4790E">
        <w:rPr>
          <w:rtl/>
          <w:lang w:eastAsia="en-US"/>
        </w:rPr>
        <w:t xml:space="preserve">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יום השביעי (היום המיוחד שהוסיפו בנות ישאל בחומרתן). על </w:t>
      </w:r>
      <w:r>
        <w:rPr>
          <w:rFonts w:hint="cs"/>
          <w:rtl/>
          <w:lang w:eastAsia="en-US"/>
        </w:rPr>
        <w:lastRenderedPageBreak/>
        <w:t xml:space="preserve">ידי חומרת בנות ישראל זוכים לקדושת השבת </w:t>
      </w:r>
      <w:proofErr w:type="spellStart"/>
      <w:r>
        <w:rPr>
          <w:rFonts w:hint="cs"/>
          <w:rtl/>
          <w:lang w:eastAsia="en-US"/>
        </w:rPr>
        <w:t>ול"אהבה</w:t>
      </w:r>
      <w:proofErr w:type="spellEnd"/>
      <w:r>
        <w:rPr>
          <w:rFonts w:hint="cs"/>
          <w:rtl/>
          <w:lang w:eastAsia="en-US"/>
        </w:rPr>
        <w:t xml:space="preserve"> בתענוגים"</w:t>
      </w:r>
      <w:r>
        <w:rPr>
          <w:rStyle w:val="a6"/>
          <w:rtl/>
          <w:lang w:eastAsia="en-US"/>
        </w:rPr>
        <w:endnoteReference w:id="15"/>
      </w:r>
      <w:r>
        <w:rPr>
          <w:rFonts w:hint="cs"/>
          <w:rtl/>
          <w:lang w:eastAsia="en-US"/>
        </w:rPr>
        <w:t xml:space="preserve"> שבה.</w:t>
      </w:r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31D" w:rsidRDefault="0066731D" w:rsidP="0061749B">
      <w:pPr>
        <w:spacing w:after="0" w:line="240" w:lineRule="auto"/>
      </w:pPr>
      <w:r>
        <w:separator/>
      </w:r>
    </w:p>
  </w:endnote>
  <w:endnote w:type="continuationSeparator" w:id="0">
    <w:p w:rsidR="0066731D" w:rsidRDefault="0066731D" w:rsidP="0061749B">
      <w:pPr>
        <w:spacing w:after="0" w:line="240" w:lineRule="auto"/>
      </w:pPr>
      <w:r>
        <w:continuationSeparator/>
      </w:r>
    </w:p>
  </w:endnote>
  <w:endnote w:id="1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ויקרא טו, כה.</w:t>
      </w:r>
    </w:p>
  </w:endnote>
  <w:endnote w:id="2">
    <w:p w:rsidR="0061749B" w:rsidRDefault="0061749B" w:rsidP="0061749B">
      <w:pPr>
        <w:pStyle w:val="a4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ויקרא רבה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, ה ובכ"ד. (וראה לעיל בתורה "נקיות הדעת לתפלה").</w:t>
      </w:r>
    </w:p>
  </w:endnote>
  <w:endnote w:id="3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לד, ו.</w:t>
      </w:r>
    </w:p>
  </w:endnote>
  <w:endnote w:id="4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באורך שכינה ביניהם פרק "ארך אפים" (וכן בשערי אהבה ורצון במאמר בשם זה).</w:t>
      </w:r>
    </w:p>
  </w:endnote>
  <w:endnote w:id="5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ג, ח (ובכ"ד).</w:t>
      </w:r>
    </w:p>
  </w:endnote>
  <w:endnote w:id="6">
    <w:p w:rsidR="0061749B" w:rsidRDefault="0061749B" w:rsidP="0061749B">
      <w:pPr>
        <w:pStyle w:val="a4"/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ויקרא טו,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</w:t>
      </w:r>
    </w:p>
  </w:endnote>
  <w:endnote w:id="7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לא, א.</w:t>
      </w:r>
    </w:p>
  </w:endnote>
  <w:endnote w:id="8">
    <w:p w:rsidR="0061749B" w:rsidRDefault="0061749B" w:rsidP="0061749B">
      <w:pPr>
        <w:pStyle w:val="a4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שבת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>, א. כתובות קי, ב.</w:t>
      </w:r>
    </w:p>
  </w:endnote>
  <w:endnote w:id="9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בבא מציעא פה, א.</w:t>
      </w:r>
    </w:p>
  </w:endnote>
  <w:endnote w:id="10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מגלה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, ב.</w:t>
      </w:r>
    </w:p>
  </w:endnote>
  <w:endnote w:id="11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במסכת ברכות </w:t>
      </w:r>
      <w:proofErr w:type="spellStart"/>
      <w:r>
        <w:rPr>
          <w:rFonts w:hint="cs"/>
          <w:rtl/>
        </w:rPr>
        <w:t>אביי</w:t>
      </w:r>
      <w:proofErr w:type="spellEnd"/>
      <w:r>
        <w:rPr>
          <w:rFonts w:hint="cs"/>
          <w:rtl/>
        </w:rPr>
        <w:t xml:space="preserve"> מביא את </w:t>
      </w:r>
      <w:proofErr w:type="spellStart"/>
      <w:r>
        <w:rPr>
          <w:rFonts w:hint="cs"/>
          <w:rtl/>
        </w:rPr>
        <w:t>המימרא</w:t>
      </w:r>
      <w:proofErr w:type="spellEnd"/>
      <w:r>
        <w:rPr>
          <w:rFonts w:hint="cs"/>
          <w:rtl/>
        </w:rPr>
        <w:t xml:space="preserve"> הזו של רבי </w:t>
      </w:r>
      <w:proofErr w:type="spellStart"/>
      <w:r>
        <w:rPr>
          <w:rFonts w:hint="cs"/>
          <w:rtl/>
        </w:rPr>
        <w:t>זירא</w:t>
      </w:r>
      <w:proofErr w:type="spellEnd"/>
      <w:r>
        <w:rPr>
          <w:rFonts w:hint="cs"/>
          <w:rtl/>
        </w:rPr>
        <w:t xml:space="preserve">. ידוע מאדמו"ר הזקן כי צורת הלימוד של מורנו הבעל שם טוב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בדרכו של </w:t>
      </w:r>
      <w:proofErr w:type="spellStart"/>
      <w:r>
        <w:rPr>
          <w:rFonts w:hint="cs"/>
          <w:rtl/>
        </w:rPr>
        <w:t>אביי</w:t>
      </w:r>
      <w:proofErr w:type="spellEnd"/>
      <w:r>
        <w:rPr>
          <w:rFonts w:hint="cs"/>
          <w:rtl/>
        </w:rPr>
        <w:t xml:space="preserve"> דווקא (ראה אור ישראל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עמ' ס ואילך). כל דרך החסידות של מורנו הבעל שם טוב היא במגמת עליה לארץ ישראל.</w:t>
      </w:r>
    </w:p>
  </w:endnote>
  <w:endnote w:id="12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גם לעיל בתורה "נקיות הדעת לתפלה".</w:t>
      </w:r>
    </w:p>
  </w:endnote>
  <w:endnote w:id="13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14">
    <w:p w:rsidR="0061749B" w:rsidRDefault="0061749B" w:rsidP="0061749B">
      <w:pPr>
        <w:pStyle w:val="a4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המילים "עליה שבעה נקיים" מכוונות בעצמן כנגד עולם-שנה-נפש: "עליה" היינו על </w:t>
      </w:r>
      <w:proofErr w:type="spellStart"/>
      <w:r>
        <w:rPr>
          <w:rFonts w:hint="cs"/>
          <w:rtl/>
        </w:rPr>
        <w:t>טפת</w:t>
      </w:r>
      <w:proofErr w:type="spellEnd"/>
      <w:r>
        <w:rPr>
          <w:rFonts w:hint="cs"/>
          <w:rtl/>
        </w:rPr>
        <w:t xml:space="preserve"> הדם, בחינת מציאות העולם; "שבעה" היינו שבעת הימים </w:t>
      </w:r>
      <w:r>
        <w:rPr>
          <w:rtl/>
        </w:rPr>
        <w:t>–</w:t>
      </w:r>
      <w:r>
        <w:rPr>
          <w:rFonts w:hint="cs"/>
          <w:rtl/>
        </w:rPr>
        <w:t xml:space="preserve"> ממד הזמן-השנה; "נקיים" היינו נקיות הנפש (ושמו של בעל הלכה זו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0D432C">
        <w:rPr>
          <w:rFonts w:hint="cs"/>
          <w:b/>
          <w:bCs/>
          <w:sz w:val="24"/>
          <w:szCs w:val="24"/>
          <w:rtl/>
        </w:rPr>
        <w:t>רבי</w:t>
      </w:r>
      <w:r>
        <w:rPr>
          <w:rFonts w:hint="cs"/>
          <w:rtl/>
        </w:rPr>
        <w:t xml:space="preserve"> </w:t>
      </w:r>
      <w:proofErr w:type="spellStart"/>
      <w:r w:rsidRPr="000D432C">
        <w:rPr>
          <w:rFonts w:hint="cs"/>
          <w:b/>
          <w:bCs/>
          <w:sz w:val="24"/>
          <w:szCs w:val="24"/>
          <w:rtl/>
        </w:rPr>
        <w:t>זירא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</w:t>
      </w:r>
      <w:r w:rsidRPr="000D432C">
        <w:rPr>
          <w:rFonts w:hint="cs"/>
          <w:b/>
          <w:bCs/>
          <w:sz w:val="24"/>
          <w:szCs w:val="24"/>
          <w:rtl/>
        </w:rPr>
        <w:t>נפש</w:t>
      </w:r>
      <w:r>
        <w:rPr>
          <w:rFonts w:hint="cs"/>
          <w:rtl/>
        </w:rPr>
        <w:t>).</w:t>
      </w:r>
    </w:p>
  </w:endnote>
  <w:endnote w:id="15">
    <w:p w:rsidR="0061749B" w:rsidRDefault="0061749B" w:rsidP="0061749B">
      <w:pPr>
        <w:pStyle w:val="a4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שה"ש ז, ז.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31D" w:rsidRDefault="0066731D" w:rsidP="0061749B">
      <w:pPr>
        <w:spacing w:after="0" w:line="240" w:lineRule="auto"/>
      </w:pPr>
      <w:r>
        <w:separator/>
      </w:r>
    </w:p>
  </w:footnote>
  <w:footnote w:type="continuationSeparator" w:id="0">
    <w:p w:rsidR="0066731D" w:rsidRDefault="0066731D" w:rsidP="00617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D2"/>
    <w:rsid w:val="00061E65"/>
    <w:rsid w:val="004C54D2"/>
    <w:rsid w:val="0061749B"/>
    <w:rsid w:val="0066731D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1749B"/>
    <w:pPr>
      <w:bidi/>
      <w:spacing w:after="120" w:line="330" w:lineRule="exact"/>
      <w:jc w:val="both"/>
    </w:pPr>
    <w:rPr>
      <w:rFonts w:ascii="Times New Roman" w:eastAsia="Times New Roman" w:hAnsi="Times New Roman" w:cs="oprFrank"/>
      <w:sz w:val="26"/>
      <w:szCs w:val="26"/>
      <w:lang w:eastAsia="he-IL"/>
    </w:rPr>
  </w:style>
  <w:style w:type="paragraph" w:styleId="2">
    <w:name w:val="heading 2"/>
    <w:aliases w:val="Heading 2"/>
    <w:next w:val="a"/>
    <w:link w:val="20"/>
    <w:qFormat/>
    <w:rsid w:val="0061749B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1749B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1749B"/>
    <w:rPr>
      <w:rFonts w:cs="MiriamMFO"/>
      <w:w w:val="100"/>
      <w:sz w:val="21"/>
      <w:szCs w:val="22"/>
    </w:rPr>
  </w:style>
  <w:style w:type="paragraph" w:styleId="a4">
    <w:name w:val="endnote text"/>
    <w:aliases w:val="Endnote Text"/>
    <w:basedOn w:val="a"/>
    <w:link w:val="a5"/>
    <w:autoRedefine/>
    <w:semiHidden/>
    <w:rsid w:val="0061749B"/>
    <w:pPr>
      <w:tabs>
        <w:tab w:val="left" w:pos="340"/>
      </w:tabs>
      <w:spacing w:after="20" w:line="260" w:lineRule="exact"/>
      <w:ind w:left="335" w:hanging="335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61749B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61749B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61749B"/>
    <w:pPr>
      <w:keepNext/>
      <w:framePr w:wrap="around" w:vAnchor="text" w:hAnchor="text" w:xAlign="right" w:y="-112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72"/>
    </w:rPr>
  </w:style>
  <w:style w:type="character" w:customStyle="1" w:styleId="a9">
    <w:name w:val="פתיח תו תו"/>
    <w:basedOn w:val="a0"/>
    <w:link w:val="a8"/>
    <w:rsid w:val="0061749B"/>
    <w:rPr>
      <w:rFonts w:ascii="Times New Roman" w:eastAsia="Times New Roman" w:hAnsi="Times New Roman" w:cs="Guttman Soncino"/>
      <w:b/>
      <w:bCs/>
      <w:color w:val="808080"/>
      <w:position w:val="-5"/>
      <w:sz w:val="85"/>
      <w:szCs w:val="72"/>
      <w:lang w:eastAsia="he-IL"/>
    </w:rPr>
  </w:style>
  <w:style w:type="character" w:styleId="a7">
    <w:name w:val="footnote reference"/>
    <w:basedOn w:val="a0"/>
    <w:uiPriority w:val="99"/>
    <w:semiHidden/>
    <w:unhideWhenUsed/>
    <w:rsid w:val="006174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1749B"/>
    <w:pPr>
      <w:bidi/>
      <w:spacing w:after="120" w:line="330" w:lineRule="exact"/>
      <w:jc w:val="both"/>
    </w:pPr>
    <w:rPr>
      <w:rFonts w:ascii="Times New Roman" w:eastAsia="Times New Roman" w:hAnsi="Times New Roman" w:cs="oprFrank"/>
      <w:sz w:val="26"/>
      <w:szCs w:val="26"/>
      <w:lang w:eastAsia="he-IL"/>
    </w:rPr>
  </w:style>
  <w:style w:type="paragraph" w:styleId="2">
    <w:name w:val="heading 2"/>
    <w:aliases w:val="Heading 2"/>
    <w:next w:val="a"/>
    <w:link w:val="20"/>
    <w:qFormat/>
    <w:rsid w:val="0061749B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1749B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1749B"/>
    <w:rPr>
      <w:rFonts w:cs="MiriamMFO"/>
      <w:w w:val="100"/>
      <w:sz w:val="21"/>
      <w:szCs w:val="22"/>
    </w:rPr>
  </w:style>
  <w:style w:type="paragraph" w:styleId="a4">
    <w:name w:val="endnote text"/>
    <w:aliases w:val="Endnote Text"/>
    <w:basedOn w:val="a"/>
    <w:link w:val="a5"/>
    <w:autoRedefine/>
    <w:semiHidden/>
    <w:rsid w:val="0061749B"/>
    <w:pPr>
      <w:tabs>
        <w:tab w:val="left" w:pos="340"/>
      </w:tabs>
      <w:spacing w:after="20" w:line="260" w:lineRule="exact"/>
      <w:ind w:left="335" w:hanging="335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61749B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61749B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61749B"/>
    <w:pPr>
      <w:keepNext/>
      <w:framePr w:wrap="around" w:vAnchor="text" w:hAnchor="text" w:xAlign="right" w:y="-112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72"/>
    </w:rPr>
  </w:style>
  <w:style w:type="character" w:customStyle="1" w:styleId="a9">
    <w:name w:val="פתיח תו תו"/>
    <w:basedOn w:val="a0"/>
    <w:link w:val="a8"/>
    <w:rsid w:val="0061749B"/>
    <w:rPr>
      <w:rFonts w:ascii="Times New Roman" w:eastAsia="Times New Roman" w:hAnsi="Times New Roman" w:cs="Guttman Soncino"/>
      <w:b/>
      <w:bCs/>
      <w:color w:val="808080"/>
      <w:position w:val="-5"/>
      <w:sz w:val="85"/>
      <w:szCs w:val="72"/>
      <w:lang w:eastAsia="he-IL"/>
    </w:rPr>
  </w:style>
  <w:style w:type="character" w:styleId="a7">
    <w:name w:val="footnote reference"/>
    <w:basedOn w:val="a0"/>
    <w:uiPriority w:val="99"/>
    <w:semiHidden/>
    <w:unhideWhenUsed/>
    <w:rsid w:val="006174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2017-08-16T11:32:00Z</dcterms:created>
  <dcterms:modified xsi:type="dcterms:W3CDTF">2017-08-16T11:33:00Z</dcterms:modified>
</cp:coreProperties>
</file>