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360" w:rsidRDefault="003C4360" w:rsidP="003C4360">
      <w:pPr>
        <w:pStyle w:val="2"/>
        <w:spacing w:before="480" w:after="480"/>
        <w:rPr>
          <w:rFonts w:hint="cs"/>
          <w:rtl/>
        </w:rPr>
      </w:pPr>
      <w:bookmarkStart w:id="0" w:name="_Toc130537216"/>
      <w:bookmarkStart w:id="1" w:name="_Ref130537434"/>
      <w:bookmarkStart w:id="2" w:name="_Toc145068664"/>
      <w:bookmarkStart w:id="3" w:name="_Toc188281721"/>
      <w:bookmarkStart w:id="4" w:name="_Toc302128582"/>
      <w:r>
        <w:rPr>
          <w:rtl/>
        </w:rPr>
        <w:t>הקדמה</w:t>
      </w:r>
      <w:bookmarkEnd w:id="0"/>
      <w:bookmarkEnd w:id="1"/>
      <w:bookmarkEnd w:id="2"/>
      <w:bookmarkEnd w:id="3"/>
      <w:bookmarkEnd w:id="4"/>
    </w:p>
    <w:p w:rsidR="003C4360" w:rsidRPr="00DD1626" w:rsidRDefault="003C4360" w:rsidP="003C4360">
      <w:pPr>
        <w:keepNext/>
        <w:framePr w:dropCap="drop" w:lines="2" w:hSpace="57" w:wrap="around" w:vAnchor="text" w:hAnchor="text" w:xAlign="right"/>
        <w:spacing w:after="0" w:line="760" w:lineRule="exact"/>
        <w:textAlignment w:val="baseline"/>
        <w:rPr>
          <w:rStyle w:val="a4"/>
          <w:rtl/>
        </w:rPr>
      </w:pPr>
      <w:r w:rsidRPr="00DD1626">
        <w:rPr>
          <w:rStyle w:val="a4"/>
          <w:rFonts w:hint="cs"/>
          <w:rtl/>
        </w:rPr>
        <w:t>י</w:t>
      </w:r>
    </w:p>
    <w:p w:rsidR="003C4360" w:rsidRDefault="003C4360" w:rsidP="003C4360">
      <w:pPr>
        <w:spacing w:after="80"/>
        <w:rPr>
          <w:rFonts w:hint="cs"/>
          <w:rtl/>
        </w:rPr>
      </w:pPr>
      <w:r>
        <w:rPr>
          <w:rFonts w:hint="cs"/>
          <w:rtl/>
        </w:rPr>
        <w:t>ין</w:t>
      </w:r>
      <w:r w:rsidRPr="00341B97">
        <w:rPr>
          <w:rFonts w:hint="cs"/>
          <w:spacing w:val="-24"/>
          <w:rtl/>
        </w:rPr>
        <w:t xml:space="preserve"> </w:t>
      </w:r>
      <w:r>
        <w:rPr>
          <w:rFonts w:hint="cs"/>
          <w:b/>
          <w:bCs/>
          <w:sz w:val="28"/>
          <w:szCs w:val="28"/>
          <w:rtl/>
        </w:rPr>
        <w:t>ה</w:t>
      </w:r>
      <w:r>
        <w:rPr>
          <w:rFonts w:hint="cs"/>
          <w:rtl/>
        </w:rPr>
        <w:t>משמח</w:t>
      </w:r>
      <w:r w:rsidRPr="00341B97">
        <w:rPr>
          <w:rFonts w:hint="cs"/>
          <w:spacing w:val="-24"/>
          <w:rtl/>
        </w:rPr>
        <w:t xml:space="preserve"> </w:t>
      </w:r>
      <w:r>
        <w:rPr>
          <w:rFonts w:hint="cs"/>
          <w:b/>
          <w:bCs/>
          <w:sz w:val="28"/>
          <w:szCs w:val="28"/>
          <w:rtl/>
        </w:rPr>
        <w:t>ו</w:t>
      </w:r>
      <w:r>
        <w:rPr>
          <w:rFonts w:hint="cs"/>
          <w:rtl/>
        </w:rPr>
        <w:t>יין</w:t>
      </w:r>
      <w:r w:rsidRPr="00341B97">
        <w:rPr>
          <w:rFonts w:hint="cs"/>
          <w:spacing w:val="-24"/>
          <w:rtl/>
        </w:rPr>
        <w:t xml:space="preserve"> </w:t>
      </w:r>
      <w:r>
        <w:rPr>
          <w:rFonts w:hint="cs"/>
          <w:b/>
          <w:bCs/>
          <w:sz w:val="28"/>
          <w:szCs w:val="28"/>
          <w:rtl/>
        </w:rPr>
        <w:t>ה</w:t>
      </w:r>
      <w:r>
        <w:rPr>
          <w:rFonts w:hint="cs"/>
          <w:rtl/>
        </w:rPr>
        <w:t>משכר</w:t>
      </w:r>
      <w:r w:rsidRPr="00341B97">
        <w:rPr>
          <w:rFonts w:hint="cs"/>
          <w:spacing w:val="-24"/>
          <w:rtl/>
        </w:rPr>
        <w:t xml:space="preserve"> </w:t>
      </w:r>
      <w:r>
        <w:rPr>
          <w:rFonts w:hint="cs"/>
          <w:rtl/>
        </w:rPr>
        <w:t>ממלאים</w:t>
      </w:r>
      <w:r w:rsidRPr="00341B97">
        <w:rPr>
          <w:rFonts w:hint="cs"/>
          <w:spacing w:val="-24"/>
          <w:rtl/>
        </w:rPr>
        <w:t xml:space="preserve"> </w:t>
      </w:r>
      <w:r>
        <w:rPr>
          <w:rFonts w:hint="cs"/>
          <w:rtl/>
        </w:rPr>
        <w:t>את</w:t>
      </w:r>
      <w:r w:rsidRPr="00341B97">
        <w:rPr>
          <w:rFonts w:hint="cs"/>
          <w:spacing w:val="-24"/>
          <w:rtl/>
        </w:rPr>
        <w:t xml:space="preserve"> </w:t>
      </w:r>
      <w:r>
        <w:rPr>
          <w:rFonts w:hint="cs"/>
          <w:rtl/>
        </w:rPr>
        <w:t>כוס</w:t>
      </w:r>
      <w:r w:rsidRPr="00341B97">
        <w:rPr>
          <w:rFonts w:hint="cs"/>
          <w:spacing w:val="-24"/>
          <w:rtl/>
        </w:rPr>
        <w:t xml:space="preserve"> </w:t>
      </w:r>
      <w:r>
        <w:rPr>
          <w:rFonts w:hint="cs"/>
          <w:rtl/>
        </w:rPr>
        <w:t>הישועות</w:t>
      </w:r>
      <w:r w:rsidRPr="00341B97">
        <w:rPr>
          <w:rFonts w:hint="cs"/>
          <w:spacing w:val="-24"/>
          <w:rtl/>
        </w:rPr>
        <w:t xml:space="preserve"> </w:t>
      </w:r>
      <w:r>
        <w:rPr>
          <w:rFonts w:hint="cs"/>
          <w:rtl/>
        </w:rPr>
        <w:t>של</w:t>
      </w:r>
      <w:r w:rsidRPr="00341B97">
        <w:rPr>
          <w:rFonts w:hint="cs"/>
          <w:spacing w:val="-24"/>
          <w:rtl/>
        </w:rPr>
        <w:t xml:space="preserve"> </w:t>
      </w:r>
      <w:r>
        <w:rPr>
          <w:rFonts w:hint="cs"/>
          <w:rtl/>
        </w:rPr>
        <w:t>חיי</w:t>
      </w:r>
      <w:r w:rsidRPr="00341B97">
        <w:rPr>
          <w:rFonts w:hint="cs"/>
          <w:spacing w:val="-24"/>
          <w:rtl/>
        </w:rPr>
        <w:t xml:space="preserve"> </w:t>
      </w:r>
      <w:r>
        <w:rPr>
          <w:rFonts w:hint="cs"/>
          <w:rtl/>
        </w:rPr>
        <w:t>הנישואין.</w:t>
      </w:r>
      <w:r w:rsidRPr="00341B97">
        <w:rPr>
          <w:rFonts w:hint="cs"/>
          <w:spacing w:val="-24"/>
          <w:rtl/>
        </w:rPr>
        <w:t xml:space="preserve"> </w:t>
      </w:r>
      <w:r>
        <w:rPr>
          <w:rFonts w:hint="cs"/>
          <w:rtl/>
        </w:rPr>
        <w:t>היין</w:t>
      </w:r>
      <w:r w:rsidRPr="00341B97">
        <w:rPr>
          <w:rFonts w:hint="cs"/>
          <w:spacing w:val="-24"/>
          <w:rtl/>
        </w:rPr>
        <w:t xml:space="preserve"> </w:t>
      </w:r>
      <w:r>
        <w:rPr>
          <w:rFonts w:hint="cs"/>
          <w:rtl/>
        </w:rPr>
        <w:t>הטוב,</w:t>
      </w:r>
      <w:r w:rsidRPr="00341B97">
        <w:rPr>
          <w:rFonts w:hint="cs"/>
          <w:spacing w:val="-24"/>
          <w:rtl/>
        </w:rPr>
        <w:t xml:space="preserve"> </w:t>
      </w:r>
      <w:r>
        <w:rPr>
          <w:rFonts w:hint="cs"/>
          <w:rtl/>
        </w:rPr>
        <w:t>אותו</w:t>
      </w:r>
      <w:r w:rsidRPr="00341B97">
        <w:rPr>
          <w:rFonts w:hint="cs"/>
          <w:spacing w:val="-24"/>
          <w:rtl/>
        </w:rPr>
        <w:t xml:space="preserve"> </w:t>
      </w:r>
      <w:r>
        <w:rPr>
          <w:rFonts w:hint="cs"/>
          <w:rtl/>
        </w:rPr>
        <w:t>שותים</w:t>
      </w:r>
      <w:r w:rsidRPr="00341B97">
        <w:rPr>
          <w:rFonts w:hint="cs"/>
          <w:spacing w:val="-24"/>
          <w:rtl/>
        </w:rPr>
        <w:t xml:space="preserve"> </w:t>
      </w:r>
      <w:r>
        <w:rPr>
          <w:rFonts w:hint="cs"/>
          <w:rtl/>
        </w:rPr>
        <w:t>בני</w:t>
      </w:r>
      <w:r w:rsidRPr="00341B97">
        <w:rPr>
          <w:rFonts w:hint="cs"/>
          <w:spacing w:val="-24"/>
          <w:rtl/>
        </w:rPr>
        <w:t xml:space="preserve"> </w:t>
      </w:r>
      <w:r>
        <w:rPr>
          <w:rFonts w:hint="cs"/>
          <w:rtl/>
        </w:rPr>
        <w:t>הזוג</w:t>
      </w:r>
      <w:r w:rsidRPr="00341B97">
        <w:rPr>
          <w:rFonts w:hint="cs"/>
          <w:spacing w:val="-24"/>
          <w:rtl/>
        </w:rPr>
        <w:t xml:space="preserve"> </w:t>
      </w:r>
      <w:r>
        <w:rPr>
          <w:rFonts w:hint="cs"/>
          <w:rtl/>
        </w:rPr>
        <w:t>בצוותא,</w:t>
      </w:r>
      <w:r w:rsidRPr="00341B97">
        <w:rPr>
          <w:rFonts w:hint="cs"/>
          <w:spacing w:val="-24"/>
          <w:rtl/>
        </w:rPr>
        <w:t xml:space="preserve"> </w:t>
      </w:r>
      <w:r>
        <w:rPr>
          <w:rFonts w:hint="cs"/>
          <w:rtl/>
        </w:rPr>
        <w:t>משמח</w:t>
      </w:r>
      <w:r w:rsidRPr="00341B97">
        <w:rPr>
          <w:rFonts w:hint="cs"/>
          <w:spacing w:val="-24"/>
          <w:rtl/>
        </w:rPr>
        <w:t xml:space="preserve"> </w:t>
      </w:r>
      <w:r>
        <w:rPr>
          <w:rFonts w:hint="cs"/>
          <w:rtl/>
        </w:rPr>
        <w:t>בחיזוק</w:t>
      </w:r>
      <w:r w:rsidRPr="00341B97">
        <w:rPr>
          <w:rFonts w:hint="cs"/>
          <w:spacing w:val="-24"/>
          <w:rtl/>
        </w:rPr>
        <w:t xml:space="preserve"> </w:t>
      </w:r>
      <w:r>
        <w:rPr>
          <w:rFonts w:hint="cs"/>
          <w:rtl/>
        </w:rPr>
        <w:t>הקשר</w:t>
      </w:r>
      <w:r w:rsidRPr="00341B97">
        <w:rPr>
          <w:rFonts w:hint="cs"/>
          <w:spacing w:val="-24"/>
          <w:rtl/>
        </w:rPr>
        <w:t xml:space="preserve"> </w:t>
      </w:r>
      <w:r>
        <w:rPr>
          <w:rFonts w:hint="cs"/>
          <w:rtl/>
        </w:rPr>
        <w:t>ומוציא</w:t>
      </w:r>
      <w:r w:rsidRPr="00341B97">
        <w:rPr>
          <w:rFonts w:hint="cs"/>
          <w:spacing w:val="-24"/>
          <w:rtl/>
        </w:rPr>
        <w:t xml:space="preserve"> </w:t>
      </w:r>
      <w:r>
        <w:rPr>
          <w:rFonts w:hint="cs"/>
          <w:rtl/>
        </w:rPr>
        <w:t>מהלב</w:t>
      </w:r>
      <w:r w:rsidRPr="00341B97">
        <w:rPr>
          <w:rFonts w:hint="cs"/>
          <w:spacing w:val="-24"/>
          <w:rtl/>
        </w:rPr>
        <w:t xml:space="preserve"> </w:t>
      </w:r>
      <w:r>
        <w:rPr>
          <w:rFonts w:hint="cs"/>
          <w:rtl/>
        </w:rPr>
        <w:t>את</w:t>
      </w:r>
      <w:r w:rsidRPr="00341B97">
        <w:rPr>
          <w:rFonts w:hint="cs"/>
          <w:spacing w:val="-24"/>
          <w:rtl/>
        </w:rPr>
        <w:t xml:space="preserve"> </w:t>
      </w:r>
      <w:r>
        <w:rPr>
          <w:rFonts w:hint="cs"/>
          <w:rtl/>
        </w:rPr>
        <w:t>סוד</w:t>
      </w:r>
      <w:r w:rsidRPr="00341B97">
        <w:rPr>
          <w:rFonts w:hint="cs"/>
          <w:spacing w:val="-24"/>
          <w:rtl/>
        </w:rPr>
        <w:t xml:space="preserve"> </w:t>
      </w:r>
      <w:r>
        <w:rPr>
          <w:rFonts w:hint="cs"/>
          <w:rtl/>
        </w:rPr>
        <w:t>האהבה</w:t>
      </w:r>
      <w:r w:rsidRPr="00341B97">
        <w:rPr>
          <w:rFonts w:hint="cs"/>
          <w:spacing w:val="-24"/>
          <w:rtl/>
        </w:rPr>
        <w:t xml:space="preserve"> </w:t>
      </w:r>
      <w:r>
        <w:rPr>
          <w:rFonts w:hint="cs"/>
          <w:rtl/>
        </w:rPr>
        <w:t>הפנימי</w:t>
      </w:r>
      <w:r w:rsidRPr="00341B97">
        <w:rPr>
          <w:rFonts w:hint="cs"/>
          <w:spacing w:val="-24"/>
          <w:rtl/>
        </w:rPr>
        <w:t xml:space="preserve"> </w:t>
      </w:r>
      <w:r>
        <w:rPr>
          <w:rFonts w:hint="cs"/>
          <w:rtl/>
        </w:rPr>
        <w:t>(ו'משכר'</w:t>
      </w:r>
      <w:r w:rsidRPr="00341B97">
        <w:rPr>
          <w:rFonts w:hint="cs"/>
          <w:spacing w:val="-24"/>
          <w:rtl/>
        </w:rPr>
        <w:t xml:space="preserve"> </w:t>
      </w:r>
      <w:r>
        <w:rPr>
          <w:rFonts w:hint="cs"/>
          <w:rtl/>
        </w:rPr>
        <w:t>בכך</w:t>
      </w:r>
      <w:r w:rsidRPr="00341B97">
        <w:rPr>
          <w:rFonts w:hint="cs"/>
          <w:spacing w:val="-24"/>
          <w:rtl/>
        </w:rPr>
        <w:t xml:space="preserve"> </w:t>
      </w:r>
      <w:r>
        <w:rPr>
          <w:rFonts w:hint="cs"/>
          <w:rtl/>
        </w:rPr>
        <w:t>שכל</w:t>
      </w:r>
      <w:r w:rsidRPr="00341B97">
        <w:rPr>
          <w:rFonts w:hint="cs"/>
          <w:spacing w:val="-24"/>
          <w:rtl/>
        </w:rPr>
        <w:t xml:space="preserve"> </w:t>
      </w:r>
      <w:r>
        <w:rPr>
          <w:rFonts w:hint="cs"/>
          <w:rtl/>
        </w:rPr>
        <w:t>המציאות</w:t>
      </w:r>
      <w:r w:rsidRPr="00341B97">
        <w:rPr>
          <w:rFonts w:hint="cs"/>
          <w:spacing w:val="-24"/>
          <w:rtl/>
        </w:rPr>
        <w:t xml:space="preserve"> </w:t>
      </w:r>
      <w:r>
        <w:rPr>
          <w:rFonts w:hint="cs"/>
          <w:rtl/>
        </w:rPr>
        <w:t>הסובבת</w:t>
      </w:r>
      <w:r w:rsidRPr="00341B97">
        <w:rPr>
          <w:rFonts w:hint="cs"/>
          <w:spacing w:val="-24"/>
          <w:rtl/>
        </w:rPr>
        <w:t xml:space="preserve"> </w:t>
      </w:r>
      <w:proofErr w:type="spellStart"/>
      <w:r>
        <w:rPr>
          <w:rFonts w:hint="cs"/>
          <w:rtl/>
        </w:rPr>
        <w:t>מחוירה</w:t>
      </w:r>
      <w:proofErr w:type="spellEnd"/>
      <w:r w:rsidRPr="00341B97">
        <w:rPr>
          <w:rFonts w:hint="cs"/>
          <w:spacing w:val="-24"/>
          <w:rtl/>
        </w:rPr>
        <w:t xml:space="preserve"> </w:t>
      </w:r>
      <w:r>
        <w:rPr>
          <w:rFonts w:hint="cs"/>
          <w:rtl/>
        </w:rPr>
        <w:t>ומטשטשת</w:t>
      </w:r>
      <w:r w:rsidRPr="00341B97">
        <w:rPr>
          <w:rFonts w:hint="cs"/>
          <w:spacing w:val="-24"/>
          <w:rtl/>
        </w:rPr>
        <w:t xml:space="preserve"> </w:t>
      </w:r>
      <w:r>
        <w:rPr>
          <w:rFonts w:hint="cs"/>
          <w:rtl/>
        </w:rPr>
        <w:t>ביחס</w:t>
      </w:r>
      <w:r w:rsidRPr="00341B97">
        <w:rPr>
          <w:rFonts w:hint="cs"/>
          <w:spacing w:val="-24"/>
          <w:rtl/>
        </w:rPr>
        <w:t xml:space="preserve"> </w:t>
      </w:r>
      <w:r>
        <w:rPr>
          <w:rFonts w:hint="cs"/>
          <w:rtl/>
        </w:rPr>
        <w:t>להתמקדות</w:t>
      </w:r>
      <w:r w:rsidRPr="00341B97">
        <w:rPr>
          <w:rFonts w:hint="cs"/>
          <w:spacing w:val="-24"/>
          <w:rtl/>
        </w:rPr>
        <w:t xml:space="preserve"> </w:t>
      </w:r>
      <w:r>
        <w:rPr>
          <w:rFonts w:hint="cs"/>
          <w:rtl/>
        </w:rPr>
        <w:t>בבן</w:t>
      </w:r>
      <w:r w:rsidRPr="00341B97">
        <w:rPr>
          <w:rFonts w:hint="cs"/>
          <w:spacing w:val="-24"/>
          <w:rtl/>
        </w:rPr>
        <w:t xml:space="preserve"> </w:t>
      </w:r>
      <w:r>
        <w:rPr>
          <w:rFonts w:hint="cs"/>
          <w:rtl/>
        </w:rPr>
        <w:t>הזוג).</w:t>
      </w:r>
    </w:p>
    <w:p w:rsidR="003C4360" w:rsidRDefault="003C4360" w:rsidP="003C4360">
      <w:pPr>
        <w:spacing w:after="80"/>
        <w:rPr>
          <w:rFonts w:hint="cs"/>
          <w:rtl/>
        </w:rPr>
      </w:pPr>
      <w:r>
        <w:rPr>
          <w:rFonts w:hint="cs"/>
          <w:rtl/>
        </w:rPr>
        <w:t xml:space="preserve">כך, בליל הסדר מלוות ארבע כוסות, כנגד ארבעה לשונות של גאולה, את תהליך החיזור והנישואין של הדוד והרעיה, הקב"ה וכנסת ישראל, מ"זכרתי לך חסד נעוריך אהבת </w:t>
      </w:r>
      <w:proofErr w:type="spellStart"/>
      <w:r>
        <w:rPr>
          <w:rFonts w:hint="cs"/>
          <w:rtl/>
        </w:rPr>
        <w:t>כלולֹתיך</w:t>
      </w:r>
      <w:proofErr w:type="spellEnd"/>
      <w:r>
        <w:rPr>
          <w:rFonts w:hint="cs"/>
          <w:rtl/>
        </w:rPr>
        <w:t xml:space="preserve"> לכתך אחרי במדבר" ועד </w:t>
      </w:r>
      <w:proofErr w:type="spellStart"/>
      <w:r>
        <w:rPr>
          <w:rFonts w:hint="cs"/>
          <w:rtl/>
        </w:rPr>
        <w:t>ל"'ביום</w:t>
      </w:r>
      <w:proofErr w:type="spellEnd"/>
      <w:r>
        <w:rPr>
          <w:rFonts w:hint="cs"/>
          <w:rtl/>
        </w:rPr>
        <w:t xml:space="preserve"> חתונתו' זה מתן תורה". כוס אחרי כוס, לגימה אחרי לגימה, במתינות ומתוך הלל והודיה לה', יוצאים מ"ערות הארץ" ונכנסים לחדרי האהבה הפנימיים.</w:t>
      </w:r>
    </w:p>
    <w:p w:rsidR="003C4360" w:rsidRDefault="003C4360" w:rsidP="003C4360">
      <w:pPr>
        <w:spacing w:after="80"/>
        <w:rPr>
          <w:rFonts w:hint="cs"/>
          <w:rtl/>
        </w:rPr>
      </w:pPr>
      <w:r>
        <w:rPr>
          <w:rFonts w:hint="cs"/>
          <w:rtl/>
        </w:rPr>
        <w:t>אחרי ארבע כוסות של שחרור מהמציאות, בהן כל אחד מבני הזוג "מתפתה ביינו", צריכה שתית היין להכניס את בני הזוג לתוך מציאות חדשה, בהתיישבות פנימית של "המתיישב ביינו". כוס היין ה</w:t>
      </w:r>
      <w:r w:rsidRPr="00F4141C">
        <w:rPr>
          <w:rFonts w:hint="cs"/>
          <w:b/>
          <w:bCs/>
          <w:sz w:val="28"/>
          <w:szCs w:val="28"/>
          <w:rtl/>
        </w:rPr>
        <w:t>חמישית</w:t>
      </w:r>
      <w:r>
        <w:rPr>
          <w:rFonts w:hint="cs"/>
          <w:rtl/>
        </w:rPr>
        <w:t xml:space="preserve"> שייכת כבר ללשון הגאולה החמישי, "והבאתי...", לביאה ה</w:t>
      </w:r>
      <w:r w:rsidRPr="00F4141C">
        <w:rPr>
          <w:rFonts w:hint="cs"/>
          <w:b/>
          <w:bCs/>
          <w:sz w:val="28"/>
          <w:szCs w:val="28"/>
          <w:rtl/>
        </w:rPr>
        <w:t>משיחית</w:t>
      </w:r>
      <w:r>
        <w:rPr>
          <w:rFonts w:hint="cs"/>
          <w:rtl/>
        </w:rPr>
        <w:t xml:space="preserve"> אל הארץ המובטחת בה בונים בני הזוג את ביתם </w:t>
      </w:r>
      <w:r>
        <w:rPr>
          <w:rtl/>
        </w:rPr>
        <w:t>–</w:t>
      </w:r>
      <w:r>
        <w:rPr>
          <w:rFonts w:hint="cs"/>
          <w:rtl/>
        </w:rPr>
        <w:t xml:space="preserve"> "הביאני המלך חדריו נגילה ונשמחה בך נזכירה דֹדיך מיין מישרים אהבוך", "</w:t>
      </w:r>
      <w:r w:rsidRPr="0079325D">
        <w:rPr>
          <w:rFonts w:hint="cs"/>
          <w:b/>
          <w:bCs/>
          <w:sz w:val="28"/>
          <w:szCs w:val="28"/>
          <w:rtl/>
        </w:rPr>
        <w:t>ה</w:t>
      </w:r>
      <w:r>
        <w:rPr>
          <w:rFonts w:hint="cs"/>
          <w:rtl/>
        </w:rPr>
        <w:t xml:space="preserve">ביאני </w:t>
      </w:r>
      <w:r w:rsidRPr="0079325D">
        <w:rPr>
          <w:rFonts w:hint="cs"/>
          <w:b/>
          <w:bCs/>
          <w:sz w:val="28"/>
          <w:szCs w:val="28"/>
          <w:rtl/>
        </w:rPr>
        <w:t>א</w:t>
      </w:r>
      <w:r>
        <w:rPr>
          <w:rFonts w:hint="cs"/>
          <w:rtl/>
        </w:rPr>
        <w:t xml:space="preserve">ל </w:t>
      </w:r>
      <w:r w:rsidRPr="0079325D">
        <w:rPr>
          <w:rFonts w:hint="cs"/>
          <w:b/>
          <w:bCs/>
          <w:sz w:val="28"/>
          <w:szCs w:val="28"/>
          <w:rtl/>
        </w:rPr>
        <w:t>ב</w:t>
      </w:r>
      <w:r>
        <w:rPr>
          <w:rFonts w:hint="cs"/>
          <w:rtl/>
        </w:rPr>
        <w:t xml:space="preserve">ית </w:t>
      </w:r>
      <w:r w:rsidRPr="0079325D">
        <w:rPr>
          <w:rFonts w:hint="cs"/>
          <w:b/>
          <w:bCs/>
          <w:sz w:val="28"/>
          <w:szCs w:val="28"/>
          <w:rtl/>
        </w:rPr>
        <w:t>ה</w:t>
      </w:r>
      <w:r>
        <w:rPr>
          <w:rFonts w:hint="cs"/>
          <w:rtl/>
        </w:rPr>
        <w:t xml:space="preserve">יין </w:t>
      </w:r>
      <w:r>
        <w:rPr>
          <w:rtl/>
        </w:rPr>
        <w:t>–</w:t>
      </w:r>
      <w:r>
        <w:rPr>
          <w:rFonts w:hint="cs"/>
          <w:rtl/>
        </w:rPr>
        <w:t xml:space="preserve"> ודגלו עלי </w:t>
      </w:r>
      <w:r w:rsidRPr="0079325D">
        <w:rPr>
          <w:rFonts w:hint="cs"/>
          <w:b/>
          <w:bCs/>
          <w:sz w:val="28"/>
          <w:szCs w:val="28"/>
          <w:rtl/>
        </w:rPr>
        <w:t>אהבה</w:t>
      </w:r>
      <w:r>
        <w:rPr>
          <w:rFonts w:hint="cs"/>
          <w:rtl/>
        </w:rPr>
        <w:t>".</w:t>
      </w:r>
    </w:p>
    <w:p w:rsidR="003C4360" w:rsidRDefault="003C4360" w:rsidP="003C4360">
      <w:pPr>
        <w:rPr>
          <w:rFonts w:hint="cs"/>
          <w:rtl/>
        </w:rPr>
      </w:pPr>
      <w:r>
        <w:rPr>
          <w:rFonts w:hint="cs"/>
          <w:rtl/>
        </w:rPr>
        <w:t xml:space="preserve">בכרך זה של יין משמח </w:t>
      </w:r>
      <w:r>
        <w:rPr>
          <w:rtl/>
        </w:rPr>
        <w:t>–</w:t>
      </w:r>
      <w:r>
        <w:rPr>
          <w:rFonts w:hint="cs"/>
          <w:rtl/>
        </w:rPr>
        <w:t xml:space="preserve"> החמישי בסדרה </w:t>
      </w:r>
      <w:r>
        <w:rPr>
          <w:rtl/>
        </w:rPr>
        <w:t>–</w:t>
      </w:r>
      <w:r>
        <w:rPr>
          <w:rFonts w:hint="cs"/>
          <w:rtl/>
        </w:rPr>
        <w:t xml:space="preserve"> שבעה שערים בהם נקבצו </w:t>
      </w:r>
      <w:proofErr w:type="spellStart"/>
      <w:r w:rsidRPr="00D45865">
        <w:rPr>
          <w:rFonts w:hint="cs"/>
          <w:b/>
          <w:bCs/>
          <w:sz w:val="28"/>
          <w:szCs w:val="28"/>
          <w:rtl/>
        </w:rPr>
        <w:t>לז</w:t>
      </w:r>
      <w:proofErr w:type="spellEnd"/>
      <w:r>
        <w:rPr>
          <w:rFonts w:hint="cs"/>
          <w:rtl/>
        </w:rPr>
        <w:t xml:space="preserve"> תורות, שעל אף הקשרים הנטווים ביניהן עומדות כל אחת בפני עצמה. יש בדברים נגיעה בהיבטים רבים של חיי הנישואין: מנהגים, כוונות וסגולות </w:t>
      </w:r>
      <w:proofErr w:type="spellStart"/>
      <w:r>
        <w:rPr>
          <w:rFonts w:hint="cs"/>
          <w:rtl/>
        </w:rPr>
        <w:t>המלוים</w:t>
      </w:r>
      <w:proofErr w:type="spellEnd"/>
      <w:r>
        <w:rPr>
          <w:rFonts w:hint="cs"/>
          <w:rtl/>
        </w:rPr>
        <w:t xml:space="preserve"> את החופה והקידושין; הדרכות לתקשורת ויחס נכונים; תהליכים של בנית חיי הנישואין </w:t>
      </w:r>
      <w:proofErr w:type="spellStart"/>
      <w:r>
        <w:rPr>
          <w:rFonts w:hint="cs"/>
          <w:rtl/>
        </w:rPr>
        <w:t>מתחלתם</w:t>
      </w:r>
      <w:proofErr w:type="spellEnd"/>
      <w:r>
        <w:rPr>
          <w:rFonts w:hint="cs"/>
          <w:rtl/>
        </w:rPr>
        <w:t xml:space="preserve">, כאשר מלוים את ה"חתן דומה למלך והכלה למלכה" ומדריכים אותם כיצד להמשיך את מלכותם גם בחיי היום-יום; דרכים לתיקון ושיקום בשעת הצורך; התבוננויות ביחס </w:t>
      </w:r>
      <w:proofErr w:type="spellStart"/>
      <w:r>
        <w:rPr>
          <w:rFonts w:hint="cs"/>
          <w:rtl/>
        </w:rPr>
        <w:t>ליחוד</w:t>
      </w:r>
      <w:proofErr w:type="spellEnd"/>
      <w:r>
        <w:rPr>
          <w:rFonts w:hint="cs"/>
          <w:rtl/>
        </w:rPr>
        <w:t xml:space="preserve"> הקדוש וכוונותיו, הבאות להעצים את אש האהבה ולקדש אותה. ענין עיקרי נוסף בכרך זה, שכמעט לא דובר אודותיו בכרכים הקודמים, הוא תהליך הטהרה </w:t>
      </w:r>
      <w:proofErr w:type="spellStart"/>
      <w:r>
        <w:rPr>
          <w:rFonts w:hint="cs"/>
          <w:rtl/>
        </w:rPr>
        <w:t>המלוה</w:t>
      </w:r>
      <w:proofErr w:type="spellEnd"/>
      <w:r>
        <w:rPr>
          <w:rFonts w:hint="cs"/>
          <w:rtl/>
        </w:rPr>
        <w:t xml:space="preserve"> את מחזור חיי </w:t>
      </w:r>
      <w:r>
        <w:rPr>
          <w:rFonts w:hint="cs"/>
          <w:rtl/>
        </w:rPr>
        <w:lastRenderedPageBreak/>
        <w:t>הנישואין היהודי, אשר הופקד על ידי "השותף השלישי" בידיהן האמונות של נשות ישראל.</w:t>
      </w:r>
    </w:p>
    <w:p w:rsidR="003C4360" w:rsidRDefault="003C4360" w:rsidP="003C4360">
      <w:pPr>
        <w:rPr>
          <w:rFonts w:hint="cs"/>
          <w:rtl/>
        </w:rPr>
      </w:pPr>
      <w:r>
        <w:rPr>
          <w:rFonts w:hint="cs"/>
          <w:rtl/>
        </w:rPr>
        <w:t xml:space="preserve">"וחכך כיין הטוב הולך לדודי למישרים", וכשם ש"כומר של ענבים כיון שמניח אדם אצבעו עליו מיד דובב" כך כל נגיעה בתורתנו הקדושה מזילה עוד ועוד מ"יינה של תורה". עם זאת, אנו מקוים שבחמשת כרכי היין המשמח מתקבלת תמונה חדשה על חיי הנישואין, בהדרכות כלליות ופרטיות </w:t>
      </w:r>
      <w:proofErr w:type="spellStart"/>
      <w:r>
        <w:rPr>
          <w:rFonts w:hint="cs"/>
          <w:rtl/>
        </w:rPr>
        <w:t>לבנין</w:t>
      </w:r>
      <w:proofErr w:type="spellEnd"/>
      <w:r>
        <w:rPr>
          <w:rFonts w:hint="cs"/>
          <w:rtl/>
        </w:rPr>
        <w:t xml:space="preserve"> והנהגת הבית היהודי, בית ש"יין נשפך בתוכו כמים" והריהו הוא בכלל ברכת ה'. לכן, לצד נשיאת עינינו אל העתיד, להיות "</w:t>
      </w:r>
      <w:proofErr w:type="spellStart"/>
      <w:r>
        <w:rPr>
          <w:rFonts w:hint="cs"/>
          <w:rtl/>
        </w:rPr>
        <w:t>ממשיכין</w:t>
      </w:r>
      <w:proofErr w:type="spellEnd"/>
      <w:r>
        <w:rPr>
          <w:rFonts w:hint="cs"/>
          <w:rtl/>
        </w:rPr>
        <w:t xml:space="preserve"> יין </w:t>
      </w:r>
      <w:proofErr w:type="spellStart"/>
      <w:r>
        <w:rPr>
          <w:rFonts w:hint="cs"/>
          <w:rtl/>
        </w:rPr>
        <w:t>בצנורות</w:t>
      </w:r>
      <w:proofErr w:type="spellEnd"/>
      <w:r>
        <w:rPr>
          <w:rFonts w:hint="cs"/>
          <w:rtl/>
        </w:rPr>
        <w:t xml:space="preserve"> לפני חתן ולפני כלה" הלאה והלאה, בא בסוף כרך זה מעין מפתח ראשוני לכללות הנושאים של חמשת הכרכים (וגם מעט מדברים שנתבארו בספרים אחרים בנושאי אהבה ונישואין). יהי רצון שיסייעו הדברים בהשראת השכינה בכל בית בישראל עד מימוש </w:t>
      </w:r>
      <w:proofErr w:type="spellStart"/>
      <w:r>
        <w:rPr>
          <w:rFonts w:hint="cs"/>
          <w:rtl/>
        </w:rPr>
        <w:t>תאות</w:t>
      </w:r>
      <w:proofErr w:type="spellEnd"/>
      <w:r>
        <w:rPr>
          <w:rFonts w:hint="cs"/>
          <w:rtl/>
        </w:rPr>
        <w:t xml:space="preserve"> ה' ל"דירה בתחתונים" כאשר נזכה לברכתו של דוד </w:t>
      </w:r>
      <w:proofErr w:type="spellStart"/>
      <w:r>
        <w:rPr>
          <w:rFonts w:hint="cs"/>
          <w:rtl/>
        </w:rPr>
        <w:t>מלכא</w:t>
      </w:r>
      <w:proofErr w:type="spellEnd"/>
      <w:r>
        <w:rPr>
          <w:rFonts w:hint="cs"/>
          <w:rtl/>
        </w:rPr>
        <w:t xml:space="preserve"> </w:t>
      </w:r>
      <w:proofErr w:type="spellStart"/>
      <w:r>
        <w:rPr>
          <w:rFonts w:hint="cs"/>
          <w:rtl/>
        </w:rPr>
        <w:t>משיחא</w:t>
      </w:r>
      <w:proofErr w:type="spellEnd"/>
      <w:r>
        <w:rPr>
          <w:rFonts w:hint="cs"/>
          <w:rtl/>
        </w:rPr>
        <w:t xml:space="preserve"> על כוס יין מלא </w:t>
      </w:r>
      <w:r>
        <w:rPr>
          <w:rtl/>
        </w:rPr>
        <w:t>–</w:t>
      </w:r>
      <w:r>
        <w:rPr>
          <w:rFonts w:hint="cs"/>
          <w:rtl/>
        </w:rPr>
        <w:t xml:space="preserve"> "כוס ישועות אשא ובשם הוי' אקרא".</w:t>
      </w:r>
    </w:p>
    <w:p w:rsidR="005F4A47" w:rsidRDefault="003C4360">
      <w:bookmarkStart w:id="5" w:name="_GoBack"/>
      <w:bookmarkEnd w:id="5"/>
    </w:p>
    <w:sectPr w:rsidR="005F4A4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F12"/>
    <w:rsid w:val="00061E65"/>
    <w:rsid w:val="003C4360"/>
    <w:rsid w:val="00A21F12"/>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C436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3C436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C4360"/>
    <w:rPr>
      <w:rFonts w:ascii="DF Calligraphic Ornaments LET" w:eastAsia="Times New Roman" w:hAnsi="DF Calligraphic Ornaments LET" w:cs="Guttman Soncino"/>
      <w:noProof/>
      <w:spacing w:val="20"/>
      <w:w w:val="90"/>
      <w:kern w:val="28"/>
      <w:sz w:val="44"/>
      <w:szCs w:val="46"/>
    </w:rPr>
  </w:style>
  <w:style w:type="paragraph" w:customStyle="1" w:styleId="a3">
    <w:name w:val="פתיח תו"/>
    <w:basedOn w:val="a"/>
    <w:link w:val="a4"/>
    <w:rsid w:val="003C436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4">
    <w:name w:val="פתיח תו תו"/>
    <w:basedOn w:val="a0"/>
    <w:link w:val="a3"/>
    <w:rsid w:val="003C4360"/>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C436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3C436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C4360"/>
    <w:rPr>
      <w:rFonts w:ascii="DF Calligraphic Ornaments LET" w:eastAsia="Times New Roman" w:hAnsi="DF Calligraphic Ornaments LET" w:cs="Guttman Soncino"/>
      <w:noProof/>
      <w:spacing w:val="20"/>
      <w:w w:val="90"/>
      <w:kern w:val="28"/>
      <w:sz w:val="44"/>
      <w:szCs w:val="46"/>
    </w:rPr>
  </w:style>
  <w:style w:type="paragraph" w:customStyle="1" w:styleId="a3">
    <w:name w:val="פתיח תו"/>
    <w:basedOn w:val="a"/>
    <w:link w:val="a4"/>
    <w:rsid w:val="003C436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4">
    <w:name w:val="פתיח תו תו"/>
    <w:basedOn w:val="a0"/>
    <w:link w:val="a3"/>
    <w:rsid w:val="003C4360"/>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1930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2017-08-16T09:22:00Z</dcterms:created>
  <dcterms:modified xsi:type="dcterms:W3CDTF">2017-08-16T09:22:00Z</dcterms:modified>
</cp:coreProperties>
</file>