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46" w:rsidRDefault="008D4A46" w:rsidP="008D4A46">
      <w:pPr>
        <w:pStyle w:val="2"/>
        <w:jc w:val="center"/>
        <w:rPr>
          <w:rFonts w:hint="cs"/>
          <w:rtl/>
        </w:rPr>
      </w:pPr>
      <w:bookmarkStart w:id="0" w:name="_Toc302128608"/>
      <w:bookmarkStart w:id="1" w:name="_Ref302128977"/>
      <w:r>
        <w:rPr>
          <w:rFonts w:hint="cs"/>
          <w:rtl/>
        </w:rPr>
        <w:t>"יראה ושקטה"</w:t>
      </w:r>
      <w:bookmarkEnd w:id="0"/>
      <w:bookmarkEnd w:id="1"/>
    </w:p>
    <w:p w:rsidR="008D4A46" w:rsidRPr="002E2CC9" w:rsidRDefault="008D4A46" w:rsidP="008D4A46">
      <w:pPr>
        <w:keepNext/>
        <w:framePr w:dropCap="drop" w:lines="2" w:hSpace="57" w:wrap="around" w:vAnchor="text" w:hAnchor="text" w:xAlign="right"/>
        <w:spacing w:after="0" w:line="760" w:lineRule="exact"/>
        <w:textAlignment w:val="baseline"/>
        <w:rPr>
          <w:rStyle w:val="a8"/>
          <w:rtl/>
        </w:rPr>
      </w:pPr>
      <w:r w:rsidRPr="002E2CC9">
        <w:rPr>
          <w:rStyle w:val="a8"/>
          <w:rFonts w:hint="cs"/>
          <w:rtl/>
        </w:rPr>
        <w:t>ב</w:t>
      </w:r>
    </w:p>
    <w:p w:rsidR="008D4A46" w:rsidRDefault="008D4A46" w:rsidP="008D4A46">
      <w:pPr>
        <w:rPr>
          <w:rFonts w:hint="cs"/>
          <w:noProof/>
          <w:rtl/>
        </w:rPr>
      </w:pPr>
      <w:r>
        <w:rPr>
          <w:rFonts w:hint="cs"/>
          <w:noProof/>
          <w:rtl/>
        </w:rPr>
        <w:t>ספר הזהר הקדוש</w:t>
      </w:r>
      <w:r w:rsidRPr="008636EE">
        <w:rPr>
          <w:rStyle w:val="a3"/>
          <w:rtl/>
        </w:rPr>
        <w:endnoteReference w:id="1"/>
      </w:r>
      <w:r>
        <w:rPr>
          <w:rFonts w:hint="cs"/>
          <w:noProof/>
          <w:rtl/>
        </w:rPr>
        <w:t xml:space="preserve"> יש השוואה בין ספירת שבעת הנקיים של אשה הנטהרת לבעלה ("וספרה לה שבעת ימים"</w:t>
      </w:r>
      <w:r w:rsidRPr="008636EE">
        <w:rPr>
          <w:rStyle w:val="a3"/>
          <w:rtl/>
        </w:rPr>
        <w:endnoteReference w:id="2"/>
      </w:r>
      <w:r>
        <w:rPr>
          <w:rFonts w:hint="cs"/>
          <w:noProof/>
          <w:rtl/>
        </w:rPr>
        <w:t>) לבין ספירת שבעת השבועות בהם מתכונן עם ישראל ל"'יום חת</w:t>
      </w:r>
      <w:r>
        <w:rPr>
          <w:rFonts w:hint="eastAsia"/>
          <w:noProof/>
          <w:rtl/>
        </w:rPr>
        <w:t>ֻ</w:t>
      </w:r>
      <w:r>
        <w:rPr>
          <w:rFonts w:hint="cs"/>
          <w:noProof/>
          <w:rtl/>
        </w:rPr>
        <w:t>נתו'</w:t>
      </w:r>
      <w:r w:rsidRPr="008636EE">
        <w:rPr>
          <w:rStyle w:val="a3"/>
          <w:rtl/>
        </w:rPr>
        <w:endnoteReference w:id="3"/>
      </w:r>
      <w:r>
        <w:rPr>
          <w:rFonts w:hint="cs"/>
          <w:noProof/>
          <w:rtl/>
        </w:rPr>
        <w:t xml:space="preserve"> זה מתן תורה"</w:t>
      </w:r>
      <w:r w:rsidRPr="008636EE">
        <w:rPr>
          <w:rStyle w:val="a3"/>
          <w:rtl/>
        </w:rPr>
        <w:endnoteReference w:id="4"/>
      </w:r>
      <w:r>
        <w:rPr>
          <w:rFonts w:hint="cs"/>
          <w:noProof/>
          <w:rtl/>
        </w:rPr>
        <w:t xml:space="preserve"> ("וספרתם לכם... שבע שבתות"</w:t>
      </w:r>
      <w:r w:rsidRPr="008636EE">
        <w:rPr>
          <w:rStyle w:val="a3"/>
          <w:rtl/>
        </w:rPr>
        <w:endnoteReference w:id="5"/>
      </w:r>
      <w:r>
        <w:rPr>
          <w:rFonts w:hint="cs"/>
          <w:noProof/>
          <w:rtl/>
        </w:rPr>
        <w:t>). על מתן תורה נדרש</w:t>
      </w:r>
      <w:r w:rsidRPr="008636EE">
        <w:rPr>
          <w:rStyle w:val="a3"/>
          <w:rtl/>
        </w:rPr>
        <w:endnoteReference w:id="6"/>
      </w:r>
      <w:r>
        <w:rPr>
          <w:rFonts w:hint="cs"/>
          <w:noProof/>
          <w:rtl/>
        </w:rPr>
        <w:t xml:space="preserve"> הפסוק "ארץ יראה ושקטה"</w:t>
      </w:r>
      <w:r w:rsidRPr="008636EE">
        <w:rPr>
          <w:rStyle w:val="a3"/>
          <w:rtl/>
        </w:rPr>
        <w:endnoteReference w:id="7"/>
      </w:r>
      <w:r>
        <w:rPr>
          <w:rFonts w:hint="cs"/>
          <w:noProof/>
          <w:rtl/>
        </w:rPr>
        <w:t xml:space="preserve">, המלמד כי עד להסכמת ישראל לקבל את התורה יראה הארץ שמא תחזור לתהו ובהו ורק עם קבלת התורה שקטה הארץ. </w:t>
      </w:r>
    </w:p>
    <w:p w:rsidR="008D4A46" w:rsidRDefault="008D4A46" w:rsidP="008D4A46">
      <w:pPr>
        <w:rPr>
          <w:rFonts w:hint="cs"/>
          <w:noProof/>
          <w:rtl/>
        </w:rPr>
      </w:pPr>
      <w:r>
        <w:rPr>
          <w:rFonts w:hint="cs"/>
          <w:noProof/>
          <w:rtl/>
        </w:rPr>
        <w:t>כיוצא בכך, גם אצל כל אשה יש תופעה של "יראה ושקטה" בספירת הנקיים ובטבילת המצוה שלאחריהם. וכשם שהשבוע העיקרי בספירה השייך ל"אשה יראת הוי'"</w:t>
      </w:r>
      <w:r w:rsidRPr="008636EE">
        <w:rPr>
          <w:rStyle w:val="a3"/>
          <w:rtl/>
        </w:rPr>
        <w:endnoteReference w:id="8"/>
      </w:r>
      <w:r>
        <w:rPr>
          <w:rFonts w:hint="cs"/>
          <w:noProof/>
          <w:rtl/>
        </w:rPr>
        <w:t xml:space="preserve"> הוא השבוע האחרון, שבוע המלכות, כך ככל שמתקרבים לסוף ימי הנקיים גוברים המתח והחשש שמא ימצא חלילה כתם בימי הליבון ויסתור את כל ימי הספירה. יראה זו היא הסימן המובהק לגעגועים האמתיים אל הבעל של כל "אשת חיל"</w:t>
      </w:r>
      <w:r w:rsidRPr="008636EE">
        <w:rPr>
          <w:rStyle w:val="a3"/>
          <w:rtl/>
        </w:rPr>
        <w:endnoteReference w:id="9"/>
      </w:r>
      <w:r>
        <w:rPr>
          <w:rFonts w:hint="cs"/>
          <w:noProof/>
          <w:rtl/>
        </w:rPr>
        <w:t xml:space="preserve"> (גם מלשון חיל ורעדה</w:t>
      </w:r>
      <w:r w:rsidRPr="008636EE">
        <w:rPr>
          <w:rStyle w:val="a3"/>
          <w:rtl/>
        </w:rPr>
        <w:endnoteReference w:id="10"/>
      </w:r>
      <w:r>
        <w:rPr>
          <w:rFonts w:hint="cs"/>
          <w:noProof/>
          <w:rtl/>
        </w:rPr>
        <w:t>), ובזכות אותה יראה מתגעגעת מתקיים "בטח בה לב בעלה"</w:t>
      </w:r>
      <w:r w:rsidRPr="008636EE">
        <w:rPr>
          <w:rStyle w:val="a3"/>
          <w:rtl/>
        </w:rPr>
        <w:endnoteReference w:id="11"/>
      </w:r>
      <w:r>
        <w:rPr>
          <w:rFonts w:hint="cs"/>
          <w:noProof/>
          <w:rtl/>
        </w:rPr>
        <w:t>.</w:t>
      </w:r>
    </w:p>
    <w:p w:rsidR="008D4A46" w:rsidRDefault="008D4A46" w:rsidP="008D4A46">
      <w:pPr>
        <w:rPr>
          <w:rFonts w:hint="cs"/>
          <w:noProof/>
          <w:rtl/>
        </w:rPr>
      </w:pPr>
      <w:r>
        <w:rPr>
          <w:rFonts w:hint="cs"/>
          <w:noProof/>
          <w:rtl/>
        </w:rPr>
        <w:t>הפחד נובע מתוך הכרת האשה את עצמה וידיעתה כי ללא סיעתא דשמיא ודאי שהספירה עתידה להתקלקל. כאשר הפחד מלווה בהכנעה כלפי שמיא (בציות מלא להלכה) ובגעגועים אמתיים זוכים לסיעתא דשמיא ולהשלמת ימי הנקיים ללא קלקול וסתירה. על פחד כזה, המביא להגברת הקשר הנפשי עם ה' ולהופעתו כ"שכינה ביניהן"</w:t>
      </w:r>
      <w:r w:rsidRPr="008636EE">
        <w:rPr>
          <w:rStyle w:val="a3"/>
          <w:rtl/>
        </w:rPr>
        <w:endnoteReference w:id="12"/>
      </w:r>
      <w:r>
        <w:rPr>
          <w:rFonts w:hint="cs"/>
          <w:noProof/>
          <w:rtl/>
        </w:rPr>
        <w:t>, נאמר "אשרי אדם מפחד תמיד"</w:t>
      </w:r>
      <w:r w:rsidRPr="008636EE">
        <w:rPr>
          <w:rStyle w:val="a3"/>
          <w:rtl/>
        </w:rPr>
        <w:endnoteReference w:id="13"/>
      </w:r>
      <w:r>
        <w:rPr>
          <w:rFonts w:hint="cs"/>
          <w:noProof/>
          <w:rtl/>
        </w:rPr>
        <w:t>. כאשר זוכים לסיום ימי הנקיים ולטבילת הטהרה אזי הפחד עצמו נהפך למקור של שעשוע, בסוד "פחד יצחק"</w:t>
      </w:r>
      <w:r w:rsidRPr="008636EE">
        <w:rPr>
          <w:rStyle w:val="a3"/>
          <w:rtl/>
        </w:rPr>
        <w:endnoteReference w:id="14"/>
      </w:r>
      <w:r>
        <w:rPr>
          <w:rFonts w:hint="cs"/>
          <w:noProof/>
          <w:rtl/>
        </w:rPr>
        <w:t xml:space="preserve">, ומ"אשרי </w:t>
      </w:r>
      <w:r w:rsidRPr="008243FC">
        <w:rPr>
          <w:rFonts w:hint="cs"/>
          <w:b/>
          <w:bCs/>
          <w:noProof/>
          <w:sz w:val="28"/>
          <w:szCs w:val="28"/>
          <w:rtl/>
        </w:rPr>
        <w:t>א</w:t>
      </w:r>
      <w:r>
        <w:rPr>
          <w:rFonts w:hint="cs"/>
          <w:noProof/>
          <w:rtl/>
        </w:rPr>
        <w:t xml:space="preserve">דם </w:t>
      </w:r>
      <w:r w:rsidRPr="008243FC">
        <w:rPr>
          <w:rFonts w:hint="cs"/>
          <w:b/>
          <w:bCs/>
          <w:noProof/>
          <w:sz w:val="28"/>
          <w:szCs w:val="28"/>
          <w:rtl/>
        </w:rPr>
        <w:t>מ</w:t>
      </w:r>
      <w:r>
        <w:rPr>
          <w:rFonts w:hint="cs"/>
          <w:noProof/>
          <w:rtl/>
        </w:rPr>
        <w:t xml:space="preserve">פחד </w:t>
      </w:r>
      <w:r w:rsidRPr="008243FC">
        <w:rPr>
          <w:rFonts w:hint="cs"/>
          <w:b/>
          <w:bCs/>
          <w:noProof/>
          <w:sz w:val="28"/>
          <w:szCs w:val="28"/>
          <w:rtl/>
        </w:rPr>
        <w:t>ת</w:t>
      </w:r>
      <w:r>
        <w:rPr>
          <w:rFonts w:hint="cs"/>
          <w:noProof/>
          <w:rtl/>
        </w:rPr>
        <w:t>מיד" זוכים ל"</w:t>
      </w:r>
      <w:r w:rsidRPr="008243FC">
        <w:rPr>
          <w:rFonts w:hint="cs"/>
          <w:b/>
          <w:bCs/>
          <w:noProof/>
          <w:sz w:val="28"/>
          <w:szCs w:val="28"/>
          <w:rtl/>
        </w:rPr>
        <w:t>א</w:t>
      </w:r>
      <w:r>
        <w:rPr>
          <w:rFonts w:hint="cs"/>
          <w:noProof/>
          <w:rtl/>
        </w:rPr>
        <w:t xml:space="preserve">שה </w:t>
      </w:r>
      <w:r w:rsidRPr="008243FC">
        <w:rPr>
          <w:rFonts w:hint="cs"/>
          <w:b/>
          <w:bCs/>
          <w:noProof/>
          <w:sz w:val="28"/>
          <w:szCs w:val="28"/>
          <w:rtl/>
        </w:rPr>
        <w:t>מ</w:t>
      </w:r>
      <w:r>
        <w:rPr>
          <w:rFonts w:hint="cs"/>
          <w:noProof/>
          <w:rtl/>
        </w:rPr>
        <w:t xml:space="preserve">זרעת </w:t>
      </w:r>
      <w:r w:rsidRPr="008243FC">
        <w:rPr>
          <w:rFonts w:hint="cs"/>
          <w:b/>
          <w:bCs/>
          <w:noProof/>
          <w:sz w:val="28"/>
          <w:szCs w:val="28"/>
          <w:rtl/>
        </w:rPr>
        <w:t>ת</w:t>
      </w:r>
      <w:r>
        <w:rPr>
          <w:rFonts w:hint="cs"/>
          <w:noProof/>
          <w:rtl/>
        </w:rPr>
        <w:t>חלה"</w:t>
      </w:r>
      <w:r w:rsidRPr="008636EE">
        <w:rPr>
          <w:rStyle w:val="a3"/>
          <w:rtl/>
        </w:rPr>
        <w:endnoteReference w:id="15"/>
      </w:r>
      <w:r>
        <w:rPr>
          <w:rFonts w:hint="cs"/>
          <w:noProof/>
          <w:rtl/>
        </w:rPr>
        <w:t xml:space="preserve"> ו"</w:t>
      </w:r>
      <w:r w:rsidRPr="008243FC">
        <w:rPr>
          <w:rFonts w:hint="cs"/>
          <w:b/>
          <w:bCs/>
          <w:noProof/>
          <w:sz w:val="28"/>
          <w:szCs w:val="28"/>
          <w:rtl/>
        </w:rPr>
        <w:t>א</w:t>
      </w:r>
      <w:r w:rsidRPr="008243FC">
        <w:rPr>
          <w:rFonts w:hint="cs"/>
          <w:noProof/>
          <w:rtl/>
        </w:rPr>
        <w:t>מת</w:t>
      </w:r>
      <w:r>
        <w:rPr>
          <w:rFonts w:hint="cs"/>
          <w:noProof/>
          <w:rtl/>
        </w:rPr>
        <w:t xml:space="preserve"> </w:t>
      </w:r>
      <w:r w:rsidRPr="008243FC">
        <w:rPr>
          <w:rFonts w:hint="cs"/>
          <w:b/>
          <w:bCs/>
          <w:noProof/>
          <w:sz w:val="28"/>
          <w:szCs w:val="28"/>
          <w:rtl/>
        </w:rPr>
        <w:t>מ</w:t>
      </w:r>
      <w:r>
        <w:rPr>
          <w:rFonts w:hint="cs"/>
          <w:noProof/>
          <w:rtl/>
        </w:rPr>
        <w:t xml:space="preserve">ארץ </w:t>
      </w:r>
      <w:r w:rsidRPr="008243FC">
        <w:rPr>
          <w:rFonts w:hint="cs"/>
          <w:b/>
          <w:bCs/>
          <w:noProof/>
          <w:sz w:val="28"/>
          <w:szCs w:val="28"/>
          <w:rtl/>
        </w:rPr>
        <w:t>ת</w:t>
      </w:r>
      <w:r>
        <w:rPr>
          <w:rFonts w:hint="cs"/>
          <w:noProof/>
          <w:rtl/>
        </w:rPr>
        <w:t>צמח"</w:t>
      </w:r>
      <w:r w:rsidRPr="008636EE">
        <w:rPr>
          <w:rStyle w:val="a3"/>
          <w:rtl/>
        </w:rPr>
        <w:endnoteReference w:id="16"/>
      </w:r>
      <w:r>
        <w:rPr>
          <w:rFonts w:hint="cs"/>
          <w:noProof/>
          <w:rtl/>
        </w:rPr>
        <w:t xml:space="preserve"> (כשהפחד ממציאת הכתם מביא לזכיה במי ש"ראשו </w:t>
      </w:r>
      <w:r w:rsidRPr="00623373">
        <w:rPr>
          <w:rFonts w:hint="cs"/>
          <w:b/>
          <w:bCs/>
          <w:noProof/>
          <w:sz w:val="28"/>
          <w:szCs w:val="28"/>
          <w:rtl/>
        </w:rPr>
        <w:t>כתם</w:t>
      </w:r>
      <w:r>
        <w:rPr>
          <w:rFonts w:hint="cs"/>
          <w:noProof/>
          <w:rtl/>
        </w:rPr>
        <w:t xml:space="preserve"> פז"</w:t>
      </w:r>
      <w:r w:rsidRPr="008636EE">
        <w:rPr>
          <w:rStyle w:val="a3"/>
          <w:rtl/>
        </w:rPr>
        <w:endnoteReference w:id="17"/>
      </w:r>
      <w:r>
        <w:rPr>
          <w:rFonts w:hint="cs"/>
          <w:noProof/>
          <w:rtl/>
        </w:rPr>
        <w:t xml:space="preserve">, ולבנים הנכתרים בשלשת הכתרים </w:t>
      </w:r>
      <w:r>
        <w:rPr>
          <w:noProof/>
          <w:rtl/>
        </w:rPr>
        <w:t>–</w:t>
      </w:r>
      <w:r>
        <w:rPr>
          <w:rFonts w:hint="cs"/>
          <w:noProof/>
          <w:rtl/>
        </w:rPr>
        <w:t xml:space="preserve"> כתר </w:t>
      </w:r>
      <w:r w:rsidRPr="001D357A">
        <w:rPr>
          <w:rFonts w:hint="cs"/>
          <w:b/>
          <w:bCs/>
          <w:noProof/>
          <w:sz w:val="28"/>
          <w:szCs w:val="28"/>
          <w:rtl/>
        </w:rPr>
        <w:t>כ</w:t>
      </w:r>
      <w:r>
        <w:rPr>
          <w:rFonts w:hint="cs"/>
          <w:noProof/>
          <w:rtl/>
        </w:rPr>
        <w:t xml:space="preserve">הונה, כתר </w:t>
      </w:r>
      <w:r w:rsidRPr="001D357A">
        <w:rPr>
          <w:rFonts w:hint="cs"/>
          <w:b/>
          <w:bCs/>
          <w:noProof/>
          <w:sz w:val="28"/>
          <w:szCs w:val="28"/>
          <w:rtl/>
        </w:rPr>
        <w:t>ת</w:t>
      </w:r>
      <w:r>
        <w:rPr>
          <w:rFonts w:hint="cs"/>
          <w:noProof/>
          <w:rtl/>
        </w:rPr>
        <w:t xml:space="preserve">ורה וכתר </w:t>
      </w:r>
      <w:r w:rsidRPr="001D357A">
        <w:rPr>
          <w:rFonts w:hint="cs"/>
          <w:b/>
          <w:bCs/>
          <w:noProof/>
          <w:sz w:val="28"/>
          <w:szCs w:val="28"/>
          <w:rtl/>
        </w:rPr>
        <w:t>מ</w:t>
      </w:r>
      <w:r>
        <w:rPr>
          <w:rFonts w:hint="cs"/>
          <w:noProof/>
          <w:rtl/>
        </w:rPr>
        <w:t>לכות</w:t>
      </w:r>
      <w:r w:rsidRPr="008636EE">
        <w:rPr>
          <w:rStyle w:val="a3"/>
          <w:rtl/>
        </w:rPr>
        <w:endnoteReference w:id="18"/>
      </w:r>
      <w:r>
        <w:rPr>
          <w:rFonts w:hint="cs"/>
          <w:noProof/>
          <w:rtl/>
        </w:rPr>
        <w:t>).</w:t>
      </w:r>
    </w:p>
    <w:p w:rsidR="005F4A47" w:rsidRDefault="008D4A46" w:rsidP="008D4A46">
      <w:r>
        <w:rPr>
          <w:rFonts w:hint="cs"/>
          <w:noProof/>
          <w:rtl/>
        </w:rPr>
        <w:lastRenderedPageBreak/>
        <w:t>יתר על כן, עם טבילת המצוה היראה החיובית איננה נעלמת ומתבטלת, אלא רק מופנמת ונעשית "יראתו על פניכם לבלתי תחטאו"</w:t>
      </w:r>
      <w:r w:rsidRPr="008636EE">
        <w:rPr>
          <w:rStyle w:val="a3"/>
          <w:rtl/>
        </w:rPr>
        <w:endnoteReference w:id="19"/>
      </w:r>
      <w:r>
        <w:rPr>
          <w:rFonts w:hint="cs"/>
          <w:noProof/>
          <w:rtl/>
        </w:rPr>
        <w:t xml:space="preserve"> (לה זכינו במתן תורה). יראת ה' שעל הפנים היא הבושה</w:t>
      </w:r>
      <w:bookmarkStart w:id="2" w:name="_Ref301913441"/>
      <w:r w:rsidRPr="008636EE">
        <w:rPr>
          <w:rStyle w:val="a3"/>
          <w:rtl/>
        </w:rPr>
        <w:endnoteReference w:id="20"/>
      </w:r>
      <w:bookmarkEnd w:id="2"/>
      <w:r>
        <w:rPr>
          <w:rFonts w:hint="cs"/>
          <w:noProof/>
          <w:rtl/>
        </w:rPr>
        <w:t>, המאפיינת את כל בני עם ישראל שעמדו רגליהם בסיני</w:t>
      </w:r>
      <w:r w:rsidRPr="00554D08">
        <w:rPr>
          <w:rStyle w:val="a6"/>
          <w:rtl/>
        </w:rPr>
        <w:fldChar w:fldCharType="begin"/>
      </w:r>
      <w:r w:rsidRPr="00554D08">
        <w:rPr>
          <w:rStyle w:val="a6"/>
          <w:rtl/>
        </w:rPr>
        <w:instrText xml:space="preserve"> </w:instrText>
      </w:r>
      <w:r w:rsidRPr="00554D08">
        <w:rPr>
          <w:rStyle w:val="a6"/>
          <w:rFonts w:hint="cs"/>
        </w:rPr>
        <w:instrText>NOTEREF</w:instrText>
      </w:r>
      <w:r w:rsidRPr="00554D08">
        <w:rPr>
          <w:rStyle w:val="a6"/>
          <w:rFonts w:hint="cs"/>
          <w:rtl/>
        </w:rPr>
        <w:instrText xml:space="preserve"> _</w:instrText>
      </w:r>
      <w:r w:rsidRPr="00554D08">
        <w:rPr>
          <w:rStyle w:val="a6"/>
          <w:rFonts w:hint="cs"/>
        </w:rPr>
        <w:instrText>Ref301913441 \h</w:instrText>
      </w:r>
      <w:r w:rsidRPr="00554D08">
        <w:rPr>
          <w:rStyle w:val="a6"/>
          <w:rtl/>
        </w:rPr>
        <w:instrText xml:space="preserve"> </w:instrText>
      </w:r>
      <w:r w:rsidRPr="00554D08">
        <w:rPr>
          <w:rStyle w:val="a6"/>
        </w:rPr>
      </w:r>
      <w:r>
        <w:rPr>
          <w:rStyle w:val="a6"/>
        </w:rPr>
        <w:instrText xml:space="preserve"> \* MERGEFORMAT </w:instrText>
      </w:r>
      <w:r w:rsidRPr="00554D08">
        <w:rPr>
          <w:rStyle w:val="a6"/>
          <w:rtl/>
        </w:rPr>
        <w:fldChar w:fldCharType="separate"/>
      </w:r>
      <w:r>
        <w:rPr>
          <w:rStyle w:val="a6"/>
          <w:rtl/>
        </w:rPr>
        <w:t>כ</w:t>
      </w:r>
      <w:r w:rsidRPr="00554D08">
        <w:rPr>
          <w:rStyle w:val="a6"/>
          <w:rtl/>
        </w:rPr>
        <w:fldChar w:fldCharType="end"/>
      </w:r>
      <w:r>
        <w:rPr>
          <w:rFonts w:hint="cs"/>
          <w:noProof/>
          <w:rtl/>
        </w:rPr>
        <w:t>, ובין בני זוג בשת הפנים באה לידי ביטוי מיוחד ביחוד הקדוש שלאחר טבילת המצוה</w:t>
      </w:r>
      <w:r w:rsidRPr="008636EE">
        <w:rPr>
          <w:rStyle w:val="a3"/>
          <w:rtl/>
        </w:rPr>
        <w:endnoteReference w:id="21"/>
      </w:r>
      <w:r>
        <w:rPr>
          <w:rFonts w:hint="cs"/>
          <w:noProof/>
          <w:rtl/>
        </w:rPr>
        <w:t>. בשת הפנים היא יראה שקטה ("ושקטה"), המשקיטה את רעשי היצר התאוותני ומאפשרת לכוון כדבעי את האהבה הפנימית בתוך אפיקים צנועים ונכונים. ה</w:t>
      </w:r>
      <w:r w:rsidRPr="00820E6D">
        <w:rPr>
          <w:rFonts w:hint="cs"/>
          <w:b/>
          <w:bCs/>
          <w:noProof/>
          <w:sz w:val="28"/>
          <w:szCs w:val="28"/>
          <w:rtl/>
        </w:rPr>
        <w:t>שקט</w:t>
      </w:r>
      <w:r>
        <w:rPr>
          <w:rFonts w:hint="cs"/>
          <w:noProof/>
          <w:rtl/>
        </w:rPr>
        <w:t xml:space="preserve"> הצנוע, הנובע מתוך בשת הפנים, מוסיף לוית חן לאשה ומשמש לה כ"</w:t>
      </w:r>
      <w:r w:rsidRPr="00820E6D">
        <w:rPr>
          <w:rFonts w:hint="cs"/>
          <w:b/>
          <w:bCs/>
          <w:noProof/>
          <w:sz w:val="28"/>
          <w:szCs w:val="28"/>
          <w:rtl/>
        </w:rPr>
        <w:t>קש</w:t>
      </w:r>
      <w:r>
        <w:rPr>
          <w:rFonts w:hint="cs"/>
          <w:noProof/>
          <w:rtl/>
        </w:rPr>
        <w:t>ו</w:t>
      </w:r>
      <w:r w:rsidRPr="00820E6D">
        <w:rPr>
          <w:rFonts w:hint="cs"/>
          <w:b/>
          <w:bCs/>
          <w:noProof/>
          <w:sz w:val="28"/>
          <w:szCs w:val="28"/>
          <w:rtl/>
        </w:rPr>
        <w:t>ט</w:t>
      </w:r>
      <w:r>
        <w:rPr>
          <w:rFonts w:hint="cs"/>
          <w:noProof/>
          <w:rtl/>
        </w:rPr>
        <w:t>י כלה" המחזקים ומאמתים את מעלת "</w:t>
      </w:r>
      <w:r w:rsidRPr="00E86175">
        <w:rPr>
          <w:rFonts w:hint="cs"/>
          <w:b/>
          <w:bCs/>
          <w:noProof/>
          <w:sz w:val="28"/>
          <w:szCs w:val="28"/>
          <w:rtl/>
        </w:rPr>
        <w:t>א</w:t>
      </w:r>
      <w:r>
        <w:rPr>
          <w:rFonts w:hint="cs"/>
          <w:noProof/>
          <w:rtl/>
        </w:rPr>
        <w:t xml:space="preserve">שה </w:t>
      </w:r>
      <w:r w:rsidRPr="00E86175">
        <w:rPr>
          <w:rFonts w:hint="cs"/>
          <w:b/>
          <w:bCs/>
          <w:noProof/>
          <w:sz w:val="28"/>
          <w:szCs w:val="28"/>
          <w:rtl/>
        </w:rPr>
        <w:t>מ</w:t>
      </w:r>
      <w:r>
        <w:rPr>
          <w:rFonts w:hint="cs"/>
          <w:noProof/>
          <w:rtl/>
        </w:rPr>
        <w:t xml:space="preserve">זרעת </w:t>
      </w:r>
      <w:r w:rsidRPr="00E86175">
        <w:rPr>
          <w:rFonts w:hint="cs"/>
          <w:b/>
          <w:bCs/>
          <w:noProof/>
          <w:sz w:val="28"/>
          <w:szCs w:val="28"/>
          <w:rtl/>
        </w:rPr>
        <w:t>ת</w:t>
      </w:r>
      <w:r>
        <w:rPr>
          <w:rFonts w:hint="cs"/>
          <w:noProof/>
          <w:rtl/>
        </w:rPr>
        <w:t xml:space="preserve">חלה" ב"קשט אמרי </w:t>
      </w:r>
      <w:r w:rsidRPr="00E86175">
        <w:rPr>
          <w:rFonts w:hint="cs"/>
          <w:b/>
          <w:bCs/>
          <w:noProof/>
          <w:sz w:val="28"/>
          <w:szCs w:val="28"/>
          <w:rtl/>
        </w:rPr>
        <w:t>אמת</w:t>
      </w:r>
      <w:r>
        <w:rPr>
          <w:rFonts w:hint="cs"/>
          <w:noProof/>
          <w:rtl/>
        </w:rPr>
        <w:t>"</w:t>
      </w:r>
      <w:r w:rsidRPr="008636EE">
        <w:rPr>
          <w:rStyle w:val="a3"/>
          <w:rtl/>
        </w:rPr>
        <w:endnoteReference w:id="22"/>
      </w:r>
      <w:r>
        <w:rPr>
          <w:rFonts w:hint="cs"/>
          <w:noProof/>
          <w:rtl/>
        </w:rPr>
        <w:t>.</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53A" w:rsidRDefault="00AC353A" w:rsidP="008D4A46">
      <w:pPr>
        <w:spacing w:after="0" w:line="240" w:lineRule="auto"/>
      </w:pPr>
      <w:r>
        <w:separator/>
      </w:r>
    </w:p>
  </w:endnote>
  <w:endnote w:type="continuationSeparator" w:id="0">
    <w:p w:rsidR="00AC353A" w:rsidRDefault="00AC353A" w:rsidP="008D4A46">
      <w:pPr>
        <w:spacing w:after="0" w:line="240" w:lineRule="auto"/>
      </w:pPr>
      <w:r>
        <w:continuationSeparator/>
      </w:r>
    </w:p>
  </w:endnote>
  <w:endnote w:id="1">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w:t>
      </w:r>
      <w:proofErr w:type="spellStart"/>
      <w:r>
        <w:rPr>
          <w:rFonts w:hint="cs"/>
          <w:rtl/>
        </w:rPr>
        <w:t>צז</w:t>
      </w:r>
      <w:proofErr w:type="spellEnd"/>
      <w:r>
        <w:rPr>
          <w:rFonts w:hint="cs"/>
          <w:rtl/>
        </w:rPr>
        <w:t>, ב.</w:t>
      </w:r>
    </w:p>
  </w:endnote>
  <w:endnote w:id="2">
    <w:p w:rsidR="008D4A46" w:rsidRDefault="008D4A46" w:rsidP="008D4A46">
      <w:pPr>
        <w:pStyle w:val="a4"/>
        <w:rPr>
          <w:rFonts w:hint="cs"/>
          <w:rtl/>
        </w:rPr>
      </w:pPr>
      <w:r>
        <w:rPr>
          <w:rtl/>
        </w:rPr>
        <w:tab/>
      </w:r>
      <w:r w:rsidRPr="00944A81">
        <w:rPr>
          <w:rtl/>
        </w:rPr>
        <w:endnoteRef/>
      </w:r>
      <w:r>
        <w:rPr>
          <w:rtl/>
        </w:rPr>
        <w:t>.</w:t>
      </w:r>
      <w:r>
        <w:rPr>
          <w:rtl/>
        </w:rPr>
        <w:tab/>
      </w:r>
      <w:r>
        <w:rPr>
          <w:rFonts w:hint="cs"/>
          <w:rtl/>
        </w:rPr>
        <w:t xml:space="preserve">ויקרא טו, </w:t>
      </w:r>
      <w:proofErr w:type="spellStart"/>
      <w:r>
        <w:rPr>
          <w:rFonts w:hint="cs"/>
          <w:rtl/>
        </w:rPr>
        <w:t>כח</w:t>
      </w:r>
      <w:proofErr w:type="spellEnd"/>
      <w:r>
        <w:rPr>
          <w:rFonts w:hint="cs"/>
          <w:rtl/>
        </w:rPr>
        <w:t>.</w:t>
      </w:r>
    </w:p>
  </w:endnote>
  <w:endnote w:id="3">
    <w:p w:rsidR="008D4A46" w:rsidRDefault="008D4A46" w:rsidP="008D4A46">
      <w:pPr>
        <w:pStyle w:val="a4"/>
        <w:rPr>
          <w:rFonts w:hint="cs"/>
          <w:rtl/>
        </w:rPr>
      </w:pPr>
      <w:r>
        <w:rPr>
          <w:rtl/>
        </w:rPr>
        <w:tab/>
      </w:r>
      <w:r w:rsidRPr="00944A81">
        <w:rPr>
          <w:rtl/>
        </w:rPr>
        <w:endnoteRef/>
      </w:r>
      <w:r>
        <w:rPr>
          <w:rtl/>
        </w:rPr>
        <w:t>.</w:t>
      </w:r>
      <w:r>
        <w:rPr>
          <w:rtl/>
        </w:rPr>
        <w:tab/>
      </w:r>
      <w:r>
        <w:rPr>
          <w:rFonts w:hint="cs"/>
          <w:rtl/>
        </w:rPr>
        <w:t>שיר השירים ג, יא.</w:t>
      </w:r>
    </w:p>
  </w:endnote>
  <w:endnote w:id="4">
    <w:p w:rsidR="008D4A46" w:rsidRDefault="008D4A46" w:rsidP="008D4A46">
      <w:pPr>
        <w:pStyle w:val="a4"/>
        <w:rPr>
          <w:rFonts w:hint="cs"/>
          <w:rtl/>
        </w:rPr>
      </w:pPr>
      <w:r>
        <w:rPr>
          <w:rtl/>
        </w:rPr>
        <w:tab/>
      </w:r>
      <w:r w:rsidRPr="00944A81">
        <w:rPr>
          <w:rtl/>
        </w:rPr>
        <w:endnoteRef/>
      </w:r>
      <w:r>
        <w:rPr>
          <w:rtl/>
        </w:rPr>
        <w:t>.</w:t>
      </w:r>
      <w:r>
        <w:rPr>
          <w:rtl/>
        </w:rPr>
        <w:tab/>
      </w:r>
      <w:r>
        <w:rPr>
          <w:rFonts w:hint="cs"/>
          <w:rtl/>
        </w:rPr>
        <w:t xml:space="preserve">תענית </w:t>
      </w:r>
      <w:proofErr w:type="spellStart"/>
      <w:r>
        <w:rPr>
          <w:rFonts w:hint="cs"/>
          <w:rtl/>
        </w:rPr>
        <w:t>כו</w:t>
      </w:r>
      <w:proofErr w:type="spellEnd"/>
      <w:r>
        <w:rPr>
          <w:rFonts w:hint="cs"/>
          <w:rtl/>
        </w:rPr>
        <w:t>, ב.</w:t>
      </w:r>
    </w:p>
  </w:endnote>
  <w:endnote w:id="5">
    <w:p w:rsidR="008D4A46" w:rsidRDefault="008D4A46" w:rsidP="008D4A46">
      <w:pPr>
        <w:pStyle w:val="a4"/>
        <w:rPr>
          <w:rFonts w:hint="cs"/>
          <w:rtl/>
        </w:rPr>
      </w:pPr>
      <w:r>
        <w:rPr>
          <w:rtl/>
        </w:rPr>
        <w:tab/>
      </w:r>
      <w:r w:rsidRPr="00944A81">
        <w:rPr>
          <w:rtl/>
        </w:rPr>
        <w:endnoteRef/>
      </w:r>
      <w:r>
        <w:rPr>
          <w:rtl/>
        </w:rPr>
        <w:t>.</w:t>
      </w:r>
      <w:r>
        <w:rPr>
          <w:rtl/>
        </w:rPr>
        <w:tab/>
      </w:r>
      <w:r>
        <w:rPr>
          <w:rFonts w:hint="cs"/>
          <w:rtl/>
        </w:rPr>
        <w:t xml:space="preserve">ויקרא </w:t>
      </w:r>
      <w:proofErr w:type="spellStart"/>
      <w:r>
        <w:rPr>
          <w:rFonts w:hint="cs"/>
          <w:rtl/>
        </w:rPr>
        <w:t>כג</w:t>
      </w:r>
      <w:proofErr w:type="spellEnd"/>
      <w:r>
        <w:rPr>
          <w:rFonts w:hint="cs"/>
          <w:rtl/>
        </w:rPr>
        <w:t>, טו.</w:t>
      </w:r>
    </w:p>
  </w:endnote>
  <w:endnote w:id="6">
    <w:p w:rsidR="008D4A46" w:rsidRDefault="008D4A46" w:rsidP="008D4A46">
      <w:pPr>
        <w:pStyle w:val="a4"/>
        <w:rPr>
          <w:rFonts w:hint="cs"/>
          <w:rtl/>
        </w:rPr>
      </w:pPr>
      <w:r>
        <w:rPr>
          <w:rtl/>
        </w:rPr>
        <w:tab/>
      </w:r>
      <w:r w:rsidRPr="00944A81">
        <w:rPr>
          <w:rtl/>
        </w:rPr>
        <w:endnoteRef/>
      </w:r>
      <w:r>
        <w:rPr>
          <w:rtl/>
        </w:rPr>
        <w:t>.</w:t>
      </w:r>
      <w:r>
        <w:rPr>
          <w:rtl/>
        </w:rPr>
        <w:tab/>
      </w:r>
      <w:r>
        <w:rPr>
          <w:rFonts w:hint="cs"/>
          <w:rtl/>
        </w:rPr>
        <w:t>שבת פח, א.</w:t>
      </w:r>
    </w:p>
  </w:endnote>
  <w:endnote w:id="7">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תהלים </w:t>
      </w:r>
      <w:proofErr w:type="spellStart"/>
      <w:r>
        <w:rPr>
          <w:rFonts w:hint="cs"/>
          <w:rtl/>
        </w:rPr>
        <w:t>עו</w:t>
      </w:r>
      <w:proofErr w:type="spellEnd"/>
      <w:r>
        <w:rPr>
          <w:rFonts w:hint="cs"/>
          <w:rtl/>
        </w:rPr>
        <w:t>, ט.</w:t>
      </w:r>
    </w:p>
  </w:endnote>
  <w:endnote w:id="8">
    <w:p w:rsidR="008D4A46" w:rsidRDefault="008D4A46" w:rsidP="008D4A46">
      <w:pPr>
        <w:pStyle w:val="a4"/>
        <w:rPr>
          <w:rFonts w:hint="cs"/>
          <w:rtl/>
        </w:rPr>
      </w:pPr>
      <w:r>
        <w:rPr>
          <w:rtl/>
        </w:rPr>
        <w:tab/>
      </w:r>
      <w:r w:rsidRPr="00944A81">
        <w:rPr>
          <w:rtl/>
        </w:rPr>
        <w:endnoteRef/>
      </w:r>
      <w:r>
        <w:rPr>
          <w:rtl/>
        </w:rPr>
        <w:t>.</w:t>
      </w:r>
      <w:r>
        <w:rPr>
          <w:rtl/>
        </w:rPr>
        <w:tab/>
      </w:r>
      <w:r>
        <w:rPr>
          <w:rFonts w:hint="cs"/>
          <w:rtl/>
        </w:rPr>
        <w:t>משלי לא, ל.</w:t>
      </w:r>
    </w:p>
  </w:endnote>
  <w:endnote w:id="9">
    <w:p w:rsidR="008D4A46" w:rsidRDefault="008D4A46" w:rsidP="008D4A46">
      <w:pPr>
        <w:pStyle w:val="a4"/>
        <w:rPr>
          <w:rFonts w:hint="cs"/>
        </w:rPr>
      </w:pPr>
      <w:r>
        <w:rPr>
          <w:rtl/>
        </w:rPr>
        <w:tab/>
      </w:r>
      <w:r w:rsidRPr="00944A81">
        <w:rPr>
          <w:rtl/>
        </w:rPr>
        <w:endnoteRef/>
      </w:r>
      <w:r>
        <w:rPr>
          <w:rtl/>
        </w:rPr>
        <w:t>.</w:t>
      </w:r>
      <w:r>
        <w:rPr>
          <w:rtl/>
        </w:rPr>
        <w:tab/>
      </w:r>
      <w:r>
        <w:rPr>
          <w:rFonts w:hint="cs"/>
          <w:rtl/>
        </w:rPr>
        <w:t>שם פסוק י.</w:t>
      </w:r>
    </w:p>
  </w:endnote>
  <w:endnote w:id="10">
    <w:p w:rsidR="008D4A46" w:rsidRDefault="008D4A46" w:rsidP="008D4A46">
      <w:pPr>
        <w:pStyle w:val="a4"/>
        <w:rPr>
          <w:rFonts w:hint="cs"/>
          <w:rtl/>
        </w:rPr>
      </w:pPr>
      <w:r>
        <w:rPr>
          <w:rtl/>
        </w:rPr>
        <w:tab/>
      </w:r>
      <w:r w:rsidRPr="00944A81">
        <w:rPr>
          <w:rtl/>
        </w:rPr>
        <w:endnoteRef/>
      </w:r>
      <w:r>
        <w:rPr>
          <w:rtl/>
        </w:rPr>
        <w:t>.</w:t>
      </w:r>
      <w:r>
        <w:rPr>
          <w:rtl/>
        </w:rPr>
        <w:tab/>
      </w:r>
      <w:r>
        <w:rPr>
          <w:rFonts w:hint="cs"/>
          <w:rtl/>
        </w:rPr>
        <w:t xml:space="preserve">ראה גם שכינה ביניהם עמ' </w:t>
      </w:r>
      <w:proofErr w:type="spellStart"/>
      <w:r>
        <w:rPr>
          <w:rFonts w:hint="cs"/>
          <w:rtl/>
        </w:rPr>
        <w:t>קכד-קכה</w:t>
      </w:r>
      <w:proofErr w:type="spellEnd"/>
      <w:r>
        <w:rPr>
          <w:rFonts w:hint="cs"/>
          <w:rtl/>
        </w:rPr>
        <w:t xml:space="preserve"> (הערה יא).</w:t>
      </w:r>
    </w:p>
  </w:endnote>
  <w:endnote w:id="11">
    <w:p w:rsidR="008D4A46" w:rsidRDefault="008D4A46" w:rsidP="008D4A46">
      <w:pPr>
        <w:pStyle w:val="a4"/>
        <w:rPr>
          <w:rFonts w:hint="cs"/>
        </w:rPr>
      </w:pPr>
      <w:r>
        <w:rPr>
          <w:rtl/>
        </w:rPr>
        <w:tab/>
      </w:r>
      <w:r w:rsidRPr="00944A81">
        <w:rPr>
          <w:rtl/>
        </w:rPr>
        <w:endnoteRef/>
      </w:r>
      <w:r>
        <w:rPr>
          <w:rtl/>
        </w:rPr>
        <w:t>.</w:t>
      </w:r>
      <w:r>
        <w:rPr>
          <w:rtl/>
        </w:rPr>
        <w:tab/>
      </w:r>
      <w:r>
        <w:rPr>
          <w:rFonts w:hint="cs"/>
          <w:rtl/>
        </w:rPr>
        <w:t>משלי לא, יא.</w:t>
      </w:r>
    </w:p>
  </w:endnote>
  <w:endnote w:id="12">
    <w:p w:rsidR="008D4A46" w:rsidRDefault="008D4A46" w:rsidP="008D4A46">
      <w:pPr>
        <w:pStyle w:val="a4"/>
        <w:rPr>
          <w:rFonts w:hint="cs"/>
          <w:rtl/>
        </w:rPr>
      </w:pPr>
      <w:r>
        <w:rPr>
          <w:rtl/>
        </w:rPr>
        <w:tab/>
      </w:r>
      <w:r w:rsidRPr="00944A81">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13">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משלי </w:t>
      </w:r>
      <w:proofErr w:type="spellStart"/>
      <w:r>
        <w:rPr>
          <w:rFonts w:hint="cs"/>
          <w:rtl/>
        </w:rPr>
        <w:t>כח</w:t>
      </w:r>
      <w:proofErr w:type="spellEnd"/>
      <w:r>
        <w:rPr>
          <w:rFonts w:hint="cs"/>
          <w:rtl/>
        </w:rPr>
        <w:t>, יד.</w:t>
      </w:r>
    </w:p>
  </w:endnote>
  <w:endnote w:id="14">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בראשית לא, </w:t>
      </w:r>
      <w:proofErr w:type="spellStart"/>
      <w:r>
        <w:rPr>
          <w:rFonts w:hint="cs"/>
          <w:rtl/>
        </w:rPr>
        <w:t>מב</w:t>
      </w:r>
      <w:proofErr w:type="spellEnd"/>
      <w:r>
        <w:rPr>
          <w:rFonts w:hint="cs"/>
          <w:rtl/>
        </w:rPr>
        <w:t>. ראה לב לדעת במאמר "פרק בעבודת ה'" ביאור ח.</w:t>
      </w:r>
    </w:p>
  </w:endnote>
  <w:endnote w:id="15">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נדה לא, א </w:t>
      </w:r>
      <w:proofErr w:type="spellStart"/>
      <w:r>
        <w:rPr>
          <w:rFonts w:hint="cs"/>
          <w:rtl/>
        </w:rPr>
        <w:t>וש"נ</w:t>
      </w:r>
      <w:proofErr w:type="spellEnd"/>
      <w:r>
        <w:rPr>
          <w:rFonts w:hint="cs"/>
          <w:rtl/>
        </w:rPr>
        <w:t>.</w:t>
      </w:r>
    </w:p>
  </w:endnote>
  <w:endnote w:id="16">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תהלים פה, </w:t>
      </w:r>
      <w:proofErr w:type="spellStart"/>
      <w:r>
        <w:rPr>
          <w:rFonts w:hint="cs"/>
          <w:rtl/>
        </w:rPr>
        <w:t>יב</w:t>
      </w:r>
      <w:proofErr w:type="spellEnd"/>
      <w:r>
        <w:rPr>
          <w:rFonts w:hint="cs"/>
          <w:rtl/>
        </w:rPr>
        <w:t>.</w:t>
      </w:r>
    </w:p>
  </w:endnote>
  <w:endnote w:id="17">
    <w:p w:rsidR="008D4A46" w:rsidRDefault="008D4A46" w:rsidP="008D4A46">
      <w:pPr>
        <w:pStyle w:val="a4"/>
        <w:rPr>
          <w:rFonts w:hint="cs"/>
        </w:rPr>
      </w:pPr>
      <w:r>
        <w:rPr>
          <w:rtl/>
        </w:rPr>
        <w:tab/>
      </w:r>
      <w:r w:rsidRPr="00944A81">
        <w:rPr>
          <w:rtl/>
        </w:rPr>
        <w:endnoteRef/>
      </w:r>
      <w:r>
        <w:rPr>
          <w:rtl/>
        </w:rPr>
        <w:t>.</w:t>
      </w:r>
      <w:r>
        <w:rPr>
          <w:rtl/>
        </w:rPr>
        <w:tab/>
      </w:r>
      <w:r>
        <w:rPr>
          <w:rFonts w:hint="cs"/>
          <w:rtl/>
        </w:rPr>
        <w:t>שיר השירים ה, יא.</w:t>
      </w:r>
    </w:p>
  </w:endnote>
  <w:endnote w:id="18">
    <w:p w:rsidR="008D4A46" w:rsidRDefault="008D4A46" w:rsidP="008D4A46">
      <w:pPr>
        <w:pStyle w:val="a4"/>
        <w:rPr>
          <w:rFonts w:hint="cs"/>
          <w:rtl/>
        </w:rPr>
      </w:pPr>
      <w:r>
        <w:rPr>
          <w:rtl/>
        </w:rPr>
        <w:tab/>
      </w:r>
      <w:r w:rsidRPr="00944A81">
        <w:rPr>
          <w:rtl/>
        </w:rPr>
        <w:endnoteRef/>
      </w:r>
      <w:r>
        <w:rPr>
          <w:rtl/>
        </w:rPr>
        <w:t>.</w:t>
      </w:r>
      <w:r>
        <w:rPr>
          <w:rtl/>
        </w:rPr>
        <w:tab/>
      </w:r>
      <w:r>
        <w:rPr>
          <w:rFonts w:hint="cs"/>
          <w:rtl/>
        </w:rPr>
        <w:t>אבות פ"ד, מי"ג.</w:t>
      </w:r>
    </w:p>
  </w:endnote>
  <w:endnote w:id="19">
    <w:p w:rsidR="008D4A46" w:rsidRDefault="008D4A46" w:rsidP="008D4A46">
      <w:pPr>
        <w:pStyle w:val="a4"/>
        <w:rPr>
          <w:rFonts w:hint="cs"/>
        </w:rPr>
      </w:pPr>
      <w:r>
        <w:rPr>
          <w:rtl/>
        </w:rPr>
        <w:tab/>
      </w:r>
      <w:r w:rsidRPr="00944A81">
        <w:rPr>
          <w:rtl/>
        </w:rPr>
        <w:endnoteRef/>
      </w:r>
      <w:r>
        <w:rPr>
          <w:rtl/>
        </w:rPr>
        <w:t>.</w:t>
      </w:r>
      <w:r>
        <w:rPr>
          <w:rtl/>
        </w:rPr>
        <w:tab/>
      </w:r>
      <w:r>
        <w:rPr>
          <w:rFonts w:hint="cs"/>
          <w:rtl/>
        </w:rPr>
        <w:t xml:space="preserve">ראה שמות כ, </w:t>
      </w:r>
      <w:proofErr w:type="spellStart"/>
      <w:r>
        <w:rPr>
          <w:rFonts w:hint="cs"/>
          <w:rtl/>
        </w:rPr>
        <w:t>טז</w:t>
      </w:r>
      <w:proofErr w:type="spellEnd"/>
      <w:r>
        <w:rPr>
          <w:rFonts w:hint="cs"/>
          <w:rtl/>
        </w:rPr>
        <w:t>.</w:t>
      </w:r>
    </w:p>
  </w:endnote>
  <w:endnote w:id="20">
    <w:p w:rsidR="008D4A46" w:rsidRDefault="008D4A46" w:rsidP="008D4A46">
      <w:pPr>
        <w:pStyle w:val="a4"/>
        <w:rPr>
          <w:rFonts w:hint="cs"/>
        </w:rPr>
      </w:pPr>
      <w:r>
        <w:rPr>
          <w:rtl/>
        </w:rPr>
        <w:tab/>
      </w:r>
      <w:r w:rsidRPr="00944A81">
        <w:rPr>
          <w:rtl/>
        </w:rPr>
        <w:endnoteRef/>
      </w:r>
      <w:r>
        <w:rPr>
          <w:rtl/>
        </w:rPr>
        <w:t>.</w:t>
      </w:r>
      <w:r>
        <w:rPr>
          <w:rtl/>
        </w:rPr>
        <w:tab/>
      </w:r>
      <w:r>
        <w:rPr>
          <w:rFonts w:hint="cs"/>
          <w:rtl/>
        </w:rPr>
        <w:t>נדרים כ, א.</w:t>
      </w:r>
    </w:p>
  </w:endnote>
  <w:endnote w:id="21">
    <w:p w:rsidR="008D4A46" w:rsidRDefault="008D4A46" w:rsidP="008D4A46">
      <w:pPr>
        <w:pStyle w:val="a4"/>
        <w:rPr>
          <w:rFonts w:hint="cs"/>
          <w:rtl/>
        </w:rPr>
      </w:pPr>
      <w:r>
        <w:rPr>
          <w:rtl/>
        </w:rPr>
        <w:tab/>
      </w:r>
      <w:r w:rsidRPr="00944A81">
        <w:rPr>
          <w:rtl/>
        </w:rPr>
        <w:endnoteRef/>
      </w:r>
      <w:r>
        <w:rPr>
          <w:rtl/>
        </w:rPr>
        <w:t>.</w:t>
      </w:r>
      <w:r>
        <w:rPr>
          <w:rtl/>
        </w:rPr>
        <w:tab/>
      </w:r>
      <w:r>
        <w:rPr>
          <w:rFonts w:hint="cs"/>
          <w:rtl/>
        </w:rPr>
        <w:t>ראה הנזכר בהערה הקודמת ובפסחים מט, ב. ראה באורך יין משמח ח"א שער ז בתורה "בושה, צניעות, תשוקה".</w:t>
      </w:r>
    </w:p>
  </w:endnote>
  <w:endnote w:id="22">
    <w:p w:rsidR="008D4A46" w:rsidRDefault="008D4A46" w:rsidP="008D4A46">
      <w:pPr>
        <w:pStyle w:val="a4"/>
        <w:rPr>
          <w:rFonts w:hint="cs"/>
          <w:rtl/>
        </w:rPr>
      </w:pPr>
      <w:r>
        <w:rPr>
          <w:rtl/>
        </w:rPr>
        <w:tab/>
      </w:r>
      <w:r w:rsidRPr="00944A81">
        <w:rPr>
          <w:rtl/>
        </w:rPr>
        <w:endnoteRef/>
      </w:r>
      <w:r>
        <w:rPr>
          <w:rtl/>
        </w:rPr>
        <w:t>.</w:t>
      </w:r>
      <w:r>
        <w:rPr>
          <w:rtl/>
        </w:rPr>
        <w:tab/>
      </w:r>
      <w:r>
        <w:rPr>
          <w:rFonts w:hint="cs"/>
          <w:rtl/>
        </w:rPr>
        <w:t xml:space="preserve">משלי </w:t>
      </w:r>
      <w:proofErr w:type="spellStart"/>
      <w:r>
        <w:rPr>
          <w:rFonts w:hint="cs"/>
          <w:rtl/>
        </w:rPr>
        <w:t>כב</w:t>
      </w:r>
      <w:proofErr w:type="spellEnd"/>
      <w:r>
        <w:rPr>
          <w:rFonts w:hint="cs"/>
          <w:rtl/>
        </w:rPr>
        <w:t xml:space="preserve">, </w:t>
      </w:r>
      <w:proofErr w:type="spellStart"/>
      <w:r>
        <w:rPr>
          <w:rFonts w:hint="cs"/>
          <w:rtl/>
        </w:rPr>
        <w:t>כא</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53A" w:rsidRDefault="00AC353A" w:rsidP="008D4A46">
      <w:pPr>
        <w:spacing w:after="0" w:line="240" w:lineRule="auto"/>
      </w:pPr>
      <w:r>
        <w:separator/>
      </w:r>
    </w:p>
  </w:footnote>
  <w:footnote w:type="continuationSeparator" w:id="0">
    <w:p w:rsidR="00AC353A" w:rsidRDefault="00AC353A" w:rsidP="008D4A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B93"/>
    <w:rsid w:val="00061E65"/>
    <w:rsid w:val="008D4A46"/>
    <w:rsid w:val="00AC2310"/>
    <w:rsid w:val="00AC353A"/>
    <w:rsid w:val="00F11B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D4A46"/>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8D4A4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D4A46"/>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8D4A46"/>
    <w:rPr>
      <w:noProof/>
      <w:position w:val="-4"/>
      <w:szCs w:val="26"/>
      <w:vertAlign w:val="superscript"/>
    </w:rPr>
  </w:style>
  <w:style w:type="paragraph" w:styleId="a4">
    <w:name w:val="endnote text"/>
    <w:aliases w:val="Endnote Text"/>
    <w:basedOn w:val="a"/>
    <w:link w:val="a5"/>
    <w:semiHidden/>
    <w:rsid w:val="008D4A4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8D4A46"/>
    <w:rPr>
      <w:rFonts w:ascii="Times New Roman" w:eastAsia="Times New Roman" w:hAnsi="Times New Roman" w:cs="oprFrank"/>
      <w:sz w:val="20"/>
      <w:szCs w:val="23"/>
      <w:lang w:eastAsia="he-IL"/>
    </w:rPr>
  </w:style>
  <w:style w:type="character" w:styleId="a6">
    <w:name w:val="endnote reference"/>
    <w:aliases w:val="Endnote Reference"/>
    <w:basedOn w:val="a3"/>
    <w:semiHidden/>
    <w:rsid w:val="008D4A46"/>
    <w:rPr>
      <w:noProof/>
      <w:position w:val="-4"/>
      <w:szCs w:val="27"/>
      <w:vertAlign w:val="superscript"/>
    </w:rPr>
  </w:style>
  <w:style w:type="paragraph" w:customStyle="1" w:styleId="a7">
    <w:name w:val="פתיח תו"/>
    <w:basedOn w:val="a"/>
    <w:link w:val="a8"/>
    <w:rsid w:val="008D4A4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D4A46"/>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D4A46"/>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8D4A4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D4A46"/>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8D4A46"/>
    <w:rPr>
      <w:noProof/>
      <w:position w:val="-4"/>
      <w:szCs w:val="26"/>
      <w:vertAlign w:val="superscript"/>
    </w:rPr>
  </w:style>
  <w:style w:type="paragraph" w:styleId="a4">
    <w:name w:val="endnote text"/>
    <w:aliases w:val="Endnote Text"/>
    <w:basedOn w:val="a"/>
    <w:link w:val="a5"/>
    <w:semiHidden/>
    <w:rsid w:val="008D4A46"/>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8D4A46"/>
    <w:rPr>
      <w:rFonts w:ascii="Times New Roman" w:eastAsia="Times New Roman" w:hAnsi="Times New Roman" w:cs="oprFrank"/>
      <w:sz w:val="20"/>
      <w:szCs w:val="23"/>
      <w:lang w:eastAsia="he-IL"/>
    </w:rPr>
  </w:style>
  <w:style w:type="character" w:styleId="a6">
    <w:name w:val="endnote reference"/>
    <w:aliases w:val="Endnote Reference"/>
    <w:basedOn w:val="a3"/>
    <w:semiHidden/>
    <w:rsid w:val="008D4A46"/>
    <w:rPr>
      <w:noProof/>
      <w:position w:val="-4"/>
      <w:szCs w:val="27"/>
      <w:vertAlign w:val="superscript"/>
    </w:rPr>
  </w:style>
  <w:style w:type="paragraph" w:customStyle="1" w:styleId="a7">
    <w:name w:val="פתיח תו"/>
    <w:basedOn w:val="a"/>
    <w:link w:val="a8"/>
    <w:rsid w:val="008D4A4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8D4A46"/>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1629</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2017-08-16T10:34:00Z</dcterms:created>
  <dcterms:modified xsi:type="dcterms:W3CDTF">2017-08-16T10:35:00Z</dcterms:modified>
</cp:coreProperties>
</file>