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BCF" w:rsidRDefault="00035BCF" w:rsidP="00035BCF">
      <w:pPr>
        <w:pStyle w:val="2"/>
        <w:rPr>
          <w:rFonts w:hint="cs"/>
          <w:rtl/>
        </w:rPr>
      </w:pPr>
      <w:r>
        <w:rPr>
          <w:rFonts w:hint="cs"/>
          <w:rtl/>
        </w:rPr>
        <w:t>"לב טהור ברא לי"</w:t>
      </w:r>
    </w:p>
    <w:p w:rsidR="00035BCF" w:rsidRPr="002E2CC9" w:rsidRDefault="00035BCF" w:rsidP="00035BCF">
      <w:pPr>
        <w:keepNext/>
        <w:framePr w:dropCap="drop" w:lines="2" w:hSpace="57" w:wrap="around" w:vAnchor="text" w:hAnchor="text" w:xAlign="right"/>
        <w:spacing w:after="0" w:line="760" w:lineRule="exact"/>
        <w:textAlignment w:val="baseline"/>
        <w:rPr>
          <w:rStyle w:val="a9"/>
          <w:rtl/>
        </w:rPr>
      </w:pPr>
      <w:r w:rsidRPr="002E2CC9">
        <w:rPr>
          <w:rStyle w:val="a9"/>
          <w:rFonts w:hint="cs"/>
          <w:rtl/>
        </w:rPr>
        <w:t>א</w:t>
      </w:r>
    </w:p>
    <w:p w:rsidR="00035BCF" w:rsidRDefault="00035BCF" w:rsidP="00035BCF">
      <w:pPr>
        <w:rPr>
          <w:rFonts w:hint="cs"/>
          <w:rtl/>
        </w:rPr>
      </w:pPr>
      <w:r>
        <w:rPr>
          <w:rFonts w:hint="cs"/>
          <w:rtl/>
        </w:rPr>
        <w:t xml:space="preserve">חד הפסוקים החשובים אותם נוהגים לכוון בעת הטבילה, תחת המים, הוא "לב טהור ברא לי </w:t>
      </w:r>
      <w:proofErr w:type="spellStart"/>
      <w:r>
        <w:rPr>
          <w:rFonts w:hint="cs"/>
          <w:rtl/>
        </w:rPr>
        <w:t>אלהים</w:t>
      </w:r>
      <w:proofErr w:type="spellEnd"/>
      <w:r>
        <w:rPr>
          <w:rFonts w:hint="cs"/>
          <w:rtl/>
        </w:rPr>
        <w:t xml:space="preserve"> ורוח נכון חדש בקרבי"</w:t>
      </w:r>
      <w:r w:rsidRPr="008636EE">
        <w:rPr>
          <w:rStyle w:val="a3"/>
          <w:rtl/>
        </w:rPr>
        <w:endnoteReference w:id="1"/>
      </w:r>
      <w:r>
        <w:rPr>
          <w:rFonts w:hint="cs"/>
          <w:rtl/>
        </w:rPr>
        <w:t>. הכוונה הפשוטה היא ש"</w:t>
      </w:r>
      <w:r w:rsidRPr="00D4657E">
        <w:rPr>
          <w:rFonts w:hint="cs"/>
          <w:b/>
          <w:bCs/>
          <w:sz w:val="28"/>
          <w:szCs w:val="28"/>
          <w:rtl/>
        </w:rPr>
        <w:t>ל</w:t>
      </w:r>
      <w:r>
        <w:rPr>
          <w:rFonts w:hint="cs"/>
          <w:rtl/>
        </w:rPr>
        <w:t xml:space="preserve">ב </w:t>
      </w:r>
      <w:r w:rsidRPr="00D4657E">
        <w:rPr>
          <w:rFonts w:hint="cs"/>
          <w:b/>
          <w:bCs/>
          <w:sz w:val="28"/>
          <w:szCs w:val="28"/>
          <w:rtl/>
        </w:rPr>
        <w:t>ט</w:t>
      </w:r>
      <w:r>
        <w:rPr>
          <w:rFonts w:hint="cs"/>
          <w:rtl/>
        </w:rPr>
        <w:t xml:space="preserve">הור </w:t>
      </w:r>
      <w:r w:rsidRPr="00D4657E">
        <w:rPr>
          <w:rFonts w:hint="cs"/>
          <w:b/>
          <w:bCs/>
          <w:sz w:val="28"/>
          <w:szCs w:val="28"/>
          <w:rtl/>
        </w:rPr>
        <w:t>ב</w:t>
      </w:r>
      <w:r>
        <w:rPr>
          <w:rFonts w:hint="cs"/>
          <w:rtl/>
        </w:rPr>
        <w:t xml:space="preserve">רא" ר"ת </w:t>
      </w:r>
      <w:r w:rsidRPr="00D4657E">
        <w:rPr>
          <w:rFonts w:hint="cs"/>
          <w:b/>
          <w:bCs/>
          <w:sz w:val="28"/>
          <w:szCs w:val="28"/>
          <w:rtl/>
        </w:rPr>
        <w:t>טבל</w:t>
      </w:r>
      <w:bookmarkStart w:id="0" w:name="_Ref301913668"/>
      <w:r w:rsidRPr="008636EE">
        <w:rPr>
          <w:rStyle w:val="a3"/>
          <w:rtl/>
        </w:rPr>
        <w:endnoteReference w:id="2"/>
      </w:r>
      <w:bookmarkEnd w:id="0"/>
      <w:r>
        <w:rPr>
          <w:rFonts w:hint="cs"/>
          <w:rtl/>
        </w:rPr>
        <w:t xml:space="preserve"> ו-</w:t>
      </w:r>
      <w:r w:rsidRPr="00D4657E">
        <w:rPr>
          <w:rFonts w:hint="cs"/>
          <w:b/>
          <w:bCs/>
          <w:sz w:val="28"/>
          <w:szCs w:val="28"/>
          <w:rtl/>
        </w:rPr>
        <w:t>בטל</w:t>
      </w:r>
      <w:r>
        <w:rPr>
          <w:rFonts w:hint="cs"/>
          <w:rtl/>
        </w:rPr>
        <w:t xml:space="preserve"> </w:t>
      </w:r>
      <w:r>
        <w:rPr>
          <w:rtl/>
        </w:rPr>
        <w:t>–</w:t>
      </w:r>
      <w:r>
        <w:rPr>
          <w:rFonts w:hint="cs"/>
          <w:rtl/>
        </w:rPr>
        <w:t xml:space="preserve"> ה</w:t>
      </w:r>
      <w:r w:rsidRPr="00244EE9">
        <w:rPr>
          <w:rFonts w:hint="cs"/>
          <w:b/>
          <w:bCs/>
          <w:sz w:val="28"/>
          <w:szCs w:val="28"/>
          <w:rtl/>
        </w:rPr>
        <w:t>טב</w:t>
      </w:r>
      <w:r>
        <w:rPr>
          <w:rFonts w:hint="cs"/>
          <w:rtl/>
        </w:rPr>
        <w:t>י</w:t>
      </w:r>
      <w:r w:rsidRPr="00244EE9">
        <w:rPr>
          <w:rFonts w:hint="cs"/>
          <w:b/>
          <w:bCs/>
          <w:sz w:val="28"/>
          <w:szCs w:val="28"/>
          <w:rtl/>
        </w:rPr>
        <w:t>ל</w:t>
      </w:r>
      <w:r>
        <w:rPr>
          <w:rFonts w:hint="cs"/>
          <w:rtl/>
        </w:rPr>
        <w:t>ה מ</w:t>
      </w:r>
      <w:r w:rsidRPr="00244EE9">
        <w:rPr>
          <w:rFonts w:hint="cs"/>
          <w:b/>
          <w:bCs/>
          <w:sz w:val="28"/>
          <w:szCs w:val="28"/>
          <w:rtl/>
        </w:rPr>
        <w:t>בטל</w:t>
      </w:r>
      <w:r>
        <w:rPr>
          <w:rFonts w:hint="cs"/>
          <w:rtl/>
        </w:rPr>
        <w:t xml:space="preserve">ת את כל הכתמים הפוגמים בנפש, ובראשם נקודות הישות </w:t>
      </w:r>
      <w:proofErr w:type="spellStart"/>
      <w:r>
        <w:rPr>
          <w:rFonts w:hint="cs"/>
          <w:rtl/>
        </w:rPr>
        <w:t>והגאוה</w:t>
      </w:r>
      <w:proofErr w:type="spellEnd"/>
      <w:r>
        <w:rPr>
          <w:rFonts w:hint="cs"/>
          <w:rtl/>
        </w:rPr>
        <w:t xml:space="preserve"> ה</w:t>
      </w:r>
      <w:r w:rsidRPr="00D91656">
        <w:rPr>
          <w:rStyle w:val="a4"/>
          <w:rFonts w:hint="cs"/>
          <w:rtl/>
        </w:rPr>
        <w:t>מטמאות</w:t>
      </w:r>
      <w:r>
        <w:rPr>
          <w:rFonts w:hint="cs"/>
          <w:rtl/>
        </w:rPr>
        <w:t xml:space="preserve"> את הלב, </w:t>
      </w:r>
      <w:r w:rsidRPr="00D91656">
        <w:rPr>
          <w:rStyle w:val="a4"/>
          <w:rFonts w:hint="cs"/>
          <w:rtl/>
        </w:rPr>
        <w:t>מטמטמות</w:t>
      </w:r>
      <w:r w:rsidRPr="008636EE">
        <w:rPr>
          <w:rStyle w:val="a3"/>
          <w:rtl/>
        </w:rPr>
        <w:endnoteReference w:id="3"/>
      </w:r>
      <w:r>
        <w:rPr>
          <w:rFonts w:hint="cs"/>
          <w:rtl/>
        </w:rPr>
        <w:t xml:space="preserve"> ו</w:t>
      </w:r>
      <w:r w:rsidRPr="00D91656">
        <w:rPr>
          <w:rStyle w:val="a4"/>
          <w:rFonts w:hint="cs"/>
          <w:rtl/>
        </w:rPr>
        <w:t>אוטמות</w:t>
      </w:r>
      <w:r>
        <w:rPr>
          <w:rFonts w:hint="cs"/>
          <w:rtl/>
        </w:rPr>
        <w:t xml:space="preserve"> אותו.</w:t>
      </w:r>
    </w:p>
    <w:p w:rsidR="00035BCF" w:rsidRDefault="00035BCF" w:rsidP="00035BCF">
      <w:pPr>
        <w:rPr>
          <w:rFonts w:hint="cs"/>
          <w:rtl/>
        </w:rPr>
      </w:pPr>
      <w:r>
        <w:rPr>
          <w:rFonts w:hint="cs"/>
          <w:rtl/>
        </w:rPr>
        <w:t xml:space="preserve">רק כאשר הלב טהור מכל שמץ וכתם אפשר באמת להתמלא באהבה לזולת ולהגיע </w:t>
      </w:r>
      <w:proofErr w:type="spellStart"/>
      <w:r>
        <w:rPr>
          <w:rFonts w:hint="cs"/>
          <w:rtl/>
        </w:rPr>
        <w:t>איתו</w:t>
      </w:r>
      <w:proofErr w:type="spellEnd"/>
      <w:r>
        <w:rPr>
          <w:rFonts w:hint="cs"/>
          <w:rtl/>
        </w:rPr>
        <w:t xml:space="preserve"> לאחדות אמתית. כאשר האדם מלוכלך ופגום, גם אם אינו מודע לכך, הוא נוטה להתכנס בתוך </w:t>
      </w:r>
      <w:proofErr w:type="spellStart"/>
      <w:r>
        <w:rPr>
          <w:rFonts w:hint="cs"/>
          <w:rtl/>
        </w:rPr>
        <w:t>נפרדותו</w:t>
      </w:r>
      <w:proofErr w:type="spellEnd"/>
      <w:r>
        <w:rPr>
          <w:rFonts w:hint="cs"/>
          <w:rtl/>
        </w:rPr>
        <w:t xml:space="preserve"> וחש אי-רצון להתקרב לזולתו. יתר על כן, כתמיו של האדם עצמו מופיעים במבטו על הזולת, ונדמה לו שהזולת מלוכלך ופגום ויש לשמור ממנו מרחק (כתורת מורנו הבעל שם טוב שראית נגע אצל הזולת מעידה על קיומו דווקא אצל המתבונן</w:t>
      </w:r>
      <w:r w:rsidRPr="008636EE">
        <w:rPr>
          <w:rStyle w:val="a3"/>
          <w:rtl/>
        </w:rPr>
        <w:endnoteReference w:id="4"/>
      </w:r>
      <w:r>
        <w:rPr>
          <w:rFonts w:hint="cs"/>
          <w:rtl/>
        </w:rPr>
        <w:t>). לעומת זאת, כאשר זוכים ל"לב טהור" ונקי, שהוא גם לב שמח</w:t>
      </w:r>
      <w:r w:rsidRPr="008636EE">
        <w:rPr>
          <w:rStyle w:val="a3"/>
          <w:rtl/>
        </w:rPr>
        <w:endnoteReference w:id="5"/>
      </w:r>
      <w:r>
        <w:rPr>
          <w:rFonts w:hint="cs"/>
          <w:rtl/>
        </w:rPr>
        <w:t xml:space="preserve">, יש </w:t>
      </w:r>
      <w:proofErr w:type="spellStart"/>
      <w:r>
        <w:rPr>
          <w:rFonts w:hint="cs"/>
          <w:rtl/>
        </w:rPr>
        <w:t>נטיה</w:t>
      </w:r>
      <w:proofErr w:type="spellEnd"/>
      <w:r>
        <w:rPr>
          <w:rFonts w:hint="cs"/>
          <w:rtl/>
        </w:rPr>
        <w:t xml:space="preserve"> טבעית לחיבור ואחדות בין הנשמות.</w:t>
      </w:r>
    </w:p>
    <w:p w:rsidR="00035BCF" w:rsidRDefault="00035BCF" w:rsidP="00035BCF">
      <w:pPr>
        <w:rPr>
          <w:rFonts w:hint="cs"/>
          <w:rtl/>
        </w:rPr>
      </w:pPr>
      <w:r>
        <w:rPr>
          <w:rFonts w:hint="cs"/>
          <w:rtl/>
        </w:rPr>
        <w:t xml:space="preserve">ענין זה מקבל ביטוי מוחשי בטבילת </w:t>
      </w:r>
      <w:proofErr w:type="spellStart"/>
      <w:r>
        <w:rPr>
          <w:rFonts w:hint="cs"/>
          <w:rtl/>
        </w:rPr>
        <w:t>המצוה</w:t>
      </w:r>
      <w:proofErr w:type="spellEnd"/>
      <w:r>
        <w:rPr>
          <w:rFonts w:hint="cs"/>
          <w:rtl/>
        </w:rPr>
        <w:t xml:space="preserve"> </w:t>
      </w:r>
      <w:proofErr w:type="spellStart"/>
      <w:r>
        <w:rPr>
          <w:rFonts w:hint="cs"/>
          <w:rtl/>
        </w:rPr>
        <w:t>במקוה</w:t>
      </w:r>
      <w:proofErr w:type="spellEnd"/>
      <w:r>
        <w:rPr>
          <w:rFonts w:hint="cs"/>
          <w:rtl/>
        </w:rPr>
        <w:t xml:space="preserve">, בה מכוונים "לב טהור ברא לי", שהרי כל תהליך </w:t>
      </w:r>
      <w:proofErr w:type="spellStart"/>
      <w:r>
        <w:rPr>
          <w:rFonts w:hint="cs"/>
          <w:rtl/>
        </w:rPr>
        <w:t>ההטהרות</w:t>
      </w:r>
      <w:proofErr w:type="spellEnd"/>
      <w:r>
        <w:rPr>
          <w:rFonts w:hint="cs"/>
          <w:rtl/>
        </w:rPr>
        <w:t xml:space="preserve"> של </w:t>
      </w:r>
      <w:proofErr w:type="spellStart"/>
      <w:r>
        <w:rPr>
          <w:rFonts w:hint="cs"/>
          <w:rtl/>
        </w:rPr>
        <w:t>אשה</w:t>
      </w:r>
      <w:proofErr w:type="spellEnd"/>
      <w:r>
        <w:rPr>
          <w:rFonts w:hint="cs"/>
          <w:rtl/>
        </w:rPr>
        <w:t xml:space="preserve"> לבעלה הוא, בפשטות, תהליך של </w:t>
      </w:r>
      <w:proofErr w:type="spellStart"/>
      <w:r>
        <w:rPr>
          <w:rFonts w:hint="cs"/>
          <w:rtl/>
        </w:rPr>
        <w:t>נקיון</w:t>
      </w:r>
      <w:proofErr w:type="spellEnd"/>
      <w:r>
        <w:rPr>
          <w:rFonts w:hint="cs"/>
          <w:rtl/>
        </w:rPr>
        <w:t xml:space="preserve">: התהליך מתחיל מהפסק הטהרה, המעיד על כך שהדמים הטמאים פסקו </w:t>
      </w:r>
      <w:proofErr w:type="spellStart"/>
      <w:r>
        <w:rPr>
          <w:rFonts w:hint="cs"/>
          <w:rtl/>
        </w:rPr>
        <w:t>והאשה</w:t>
      </w:r>
      <w:proofErr w:type="spellEnd"/>
      <w:r>
        <w:rPr>
          <w:rFonts w:hint="cs"/>
          <w:rtl/>
        </w:rPr>
        <w:t xml:space="preserve"> "טהרה ממק</w:t>
      </w:r>
      <w:r>
        <w:rPr>
          <w:rFonts w:hint="eastAsia"/>
          <w:rtl/>
        </w:rPr>
        <w:t>ֹ</w:t>
      </w:r>
      <w:r>
        <w:rPr>
          <w:rFonts w:hint="cs"/>
          <w:rtl/>
        </w:rPr>
        <w:t>ר דמיה"</w:t>
      </w:r>
      <w:r w:rsidRPr="008636EE">
        <w:rPr>
          <w:rStyle w:val="a3"/>
          <w:rtl/>
        </w:rPr>
        <w:endnoteReference w:id="6"/>
      </w:r>
      <w:r>
        <w:rPr>
          <w:rFonts w:hint="cs"/>
          <w:rtl/>
        </w:rPr>
        <w:t xml:space="preserve">, ובעקבותיו סופרים "שבעה נקיים" בהם מתעצמת </w:t>
      </w:r>
      <w:proofErr w:type="spellStart"/>
      <w:r>
        <w:rPr>
          <w:rFonts w:hint="cs"/>
          <w:rtl/>
        </w:rPr>
        <w:t>האשה</w:t>
      </w:r>
      <w:proofErr w:type="spellEnd"/>
      <w:r>
        <w:rPr>
          <w:rFonts w:hint="cs"/>
          <w:rtl/>
        </w:rPr>
        <w:t xml:space="preserve"> עם </w:t>
      </w:r>
      <w:proofErr w:type="spellStart"/>
      <w:r>
        <w:rPr>
          <w:rFonts w:hint="cs"/>
          <w:rtl/>
        </w:rPr>
        <w:t>נקיונה</w:t>
      </w:r>
      <w:proofErr w:type="spellEnd"/>
      <w:r>
        <w:rPr>
          <w:rFonts w:hint="cs"/>
          <w:rtl/>
        </w:rPr>
        <w:t xml:space="preserve"> הפנימי. אחר כך, כהכנה לטבילה, </w:t>
      </w:r>
      <w:proofErr w:type="spellStart"/>
      <w:r>
        <w:rPr>
          <w:rFonts w:hint="cs"/>
          <w:rtl/>
        </w:rPr>
        <w:t>האשה</w:t>
      </w:r>
      <w:proofErr w:type="spellEnd"/>
      <w:r>
        <w:rPr>
          <w:rFonts w:hint="cs"/>
          <w:rtl/>
        </w:rPr>
        <w:t xml:space="preserve"> מתנקה בשלמות, חופפת את שערה ומעיינת שלא נותרו על גופה שום לכלוכים וחוצצי טבילה חיצוניים. גם הטבילה עצמה נקראת בלשון התורה רחיצה במים</w:t>
      </w:r>
      <w:r w:rsidRPr="008636EE">
        <w:rPr>
          <w:rStyle w:val="a3"/>
          <w:rtl/>
        </w:rPr>
        <w:endnoteReference w:id="7"/>
      </w:r>
      <w:r>
        <w:rPr>
          <w:rFonts w:hint="cs"/>
          <w:rtl/>
        </w:rPr>
        <w:t xml:space="preserve"> (ועל דרך זה טבילת כלים נקראת בלשון הכתוב כיבוס</w:t>
      </w:r>
      <w:r w:rsidRPr="008636EE">
        <w:rPr>
          <w:rStyle w:val="a3"/>
          <w:rtl/>
        </w:rPr>
        <w:endnoteReference w:id="8"/>
      </w:r>
      <w:r>
        <w:rPr>
          <w:rFonts w:hint="cs"/>
          <w:rtl/>
        </w:rPr>
        <w:t xml:space="preserve">), במובן הפשוט של </w:t>
      </w:r>
      <w:proofErr w:type="spellStart"/>
      <w:r>
        <w:rPr>
          <w:rFonts w:hint="cs"/>
          <w:rtl/>
        </w:rPr>
        <w:t>נקיון</w:t>
      </w:r>
      <w:proofErr w:type="spellEnd"/>
      <w:r>
        <w:rPr>
          <w:rFonts w:hint="cs"/>
          <w:rtl/>
        </w:rPr>
        <w:t xml:space="preserve">, אלא שהמשמעות ההלכתית והפנימית שלה היא </w:t>
      </w:r>
      <w:proofErr w:type="spellStart"/>
      <w:r>
        <w:rPr>
          <w:rFonts w:hint="cs"/>
          <w:rtl/>
        </w:rPr>
        <w:t>נקיון</w:t>
      </w:r>
      <w:proofErr w:type="spellEnd"/>
      <w:r>
        <w:rPr>
          <w:rFonts w:hint="cs"/>
          <w:rtl/>
        </w:rPr>
        <w:t xml:space="preserve"> רוחני (המתבטא בהלכות טומאה וטהרה, שאין להן הסבר גשמי</w:t>
      </w:r>
      <w:r w:rsidRPr="008636EE">
        <w:rPr>
          <w:rStyle w:val="a3"/>
          <w:rtl/>
        </w:rPr>
        <w:endnoteReference w:id="9"/>
      </w:r>
      <w:r>
        <w:rPr>
          <w:rFonts w:hint="cs"/>
          <w:rtl/>
        </w:rPr>
        <w:t>).</w:t>
      </w:r>
    </w:p>
    <w:p w:rsidR="00035BCF" w:rsidRDefault="00035BCF" w:rsidP="00035BCF">
      <w:pPr>
        <w:rPr>
          <w:rFonts w:hint="cs"/>
          <w:rtl/>
        </w:rPr>
      </w:pPr>
      <w:r>
        <w:rPr>
          <w:rFonts w:hint="cs"/>
          <w:rtl/>
        </w:rPr>
        <w:lastRenderedPageBreak/>
        <w:t xml:space="preserve">אם כן, התהליך כולו מביא את </w:t>
      </w:r>
      <w:proofErr w:type="spellStart"/>
      <w:r>
        <w:rPr>
          <w:rFonts w:hint="cs"/>
          <w:rtl/>
        </w:rPr>
        <w:t>האשה</w:t>
      </w:r>
      <w:proofErr w:type="spellEnd"/>
      <w:r>
        <w:rPr>
          <w:rFonts w:hint="cs"/>
          <w:rtl/>
        </w:rPr>
        <w:t xml:space="preserve"> לטהרה ונקיות מושלמות, מבפנים ומבחוץ, בגשמיות וברוחניות. לפי האמור, כי דווקא "לב טהור" ונקי חפץ להתקרב ולהתחבר לזולת, מתברר כי לכלוך אינו רק חוצץ מפני הטהרה, אלא חוצץ גם בפני ההתקרבות וההתאחדות, ועל </w:t>
      </w:r>
      <w:proofErr w:type="spellStart"/>
      <w:r>
        <w:rPr>
          <w:rFonts w:hint="cs"/>
          <w:rtl/>
        </w:rPr>
        <w:t>האשה</w:t>
      </w:r>
      <w:proofErr w:type="spellEnd"/>
      <w:r>
        <w:rPr>
          <w:rFonts w:hint="cs"/>
          <w:rtl/>
        </w:rPr>
        <w:t xml:space="preserve"> להתייחס כך לכל תהליך הטהרה הקפדני (המוטל עליה, מתוך רגישותה הרבה </w:t>
      </w:r>
      <w:proofErr w:type="spellStart"/>
      <w:r>
        <w:rPr>
          <w:rFonts w:hint="cs"/>
          <w:rtl/>
        </w:rPr>
        <w:t>לעניני</w:t>
      </w:r>
      <w:proofErr w:type="spellEnd"/>
      <w:r>
        <w:rPr>
          <w:rFonts w:hint="cs"/>
          <w:rtl/>
        </w:rPr>
        <w:t xml:space="preserve"> טהרה ונקיות</w:t>
      </w:r>
      <w:r w:rsidRPr="008636EE">
        <w:rPr>
          <w:rStyle w:val="a3"/>
          <w:rtl/>
        </w:rPr>
        <w:endnoteReference w:id="10"/>
      </w:r>
      <w:r>
        <w:rPr>
          <w:rFonts w:hint="cs"/>
          <w:rtl/>
        </w:rPr>
        <w:t xml:space="preserve">). אם חלילה יש פגם בתהליך הטהרה, הפוטנציאל הגדול של הקשר הנפלא בין בני הזוג מתבזבז, הזיווג מאבד את קדושתו והופך לאיסור, וגם </w:t>
      </w:r>
      <w:proofErr w:type="spellStart"/>
      <w:r>
        <w:rPr>
          <w:rFonts w:hint="cs"/>
          <w:rtl/>
        </w:rPr>
        <w:t>אוירת</w:t>
      </w:r>
      <w:proofErr w:type="spellEnd"/>
      <w:r>
        <w:rPr>
          <w:rFonts w:hint="cs"/>
          <w:rtl/>
        </w:rPr>
        <w:t xml:space="preserve"> האהבה היום-יומית בין בני הזוג נעכרת</w:t>
      </w:r>
      <w:r w:rsidRPr="008636EE">
        <w:rPr>
          <w:rStyle w:val="a3"/>
          <w:rtl/>
        </w:rPr>
        <w:endnoteReference w:id="11"/>
      </w:r>
      <w:r>
        <w:rPr>
          <w:rFonts w:hint="cs"/>
          <w:rtl/>
        </w:rPr>
        <w:t xml:space="preserve">. רק לאחר תהליך הטהרה השלם, המבדיל את </w:t>
      </w:r>
      <w:proofErr w:type="spellStart"/>
      <w:r>
        <w:rPr>
          <w:rFonts w:hint="cs"/>
          <w:rtl/>
        </w:rPr>
        <w:t>האשה</w:t>
      </w:r>
      <w:proofErr w:type="spellEnd"/>
      <w:r>
        <w:rPr>
          <w:rFonts w:hint="cs"/>
          <w:rtl/>
        </w:rPr>
        <w:t xml:space="preserve"> מכל לכלוך וטומאה, ניתן להגיע ב"לב טהור" ושמח אל קדושת הזיווג, "דבר </w:t>
      </w:r>
      <w:r w:rsidRPr="00D91656">
        <w:rPr>
          <w:rStyle w:val="a4"/>
          <w:rFonts w:hint="cs"/>
          <w:rtl/>
        </w:rPr>
        <w:t>מצוה</w:t>
      </w:r>
      <w:r>
        <w:rPr>
          <w:rFonts w:hint="cs"/>
          <w:rtl/>
        </w:rPr>
        <w:t>"</w:t>
      </w:r>
      <w:r w:rsidRPr="008636EE">
        <w:rPr>
          <w:rStyle w:val="a3"/>
          <w:rtl/>
        </w:rPr>
        <w:endnoteReference w:id="12"/>
      </w:r>
      <w:r>
        <w:rPr>
          <w:rFonts w:hint="cs"/>
          <w:rtl/>
        </w:rPr>
        <w:t xml:space="preserve"> של </w:t>
      </w:r>
      <w:r w:rsidRPr="00D91656">
        <w:rPr>
          <w:rStyle w:val="a4"/>
          <w:rFonts w:hint="cs"/>
          <w:rtl/>
        </w:rPr>
        <w:t>צוותא</w:t>
      </w:r>
      <w:r>
        <w:rPr>
          <w:rFonts w:hint="cs"/>
          <w:rtl/>
        </w:rPr>
        <w:t xml:space="preserve"> וחיבור</w:t>
      </w:r>
      <w:r w:rsidRPr="008636EE">
        <w:rPr>
          <w:rStyle w:val="a3"/>
          <w:rtl/>
        </w:rPr>
        <w:endnoteReference w:id="13"/>
      </w:r>
      <w:r>
        <w:rPr>
          <w:rFonts w:hint="cs"/>
          <w:rtl/>
        </w:rPr>
        <w:t xml:space="preserve"> בין איש ואשתו.</w:t>
      </w:r>
    </w:p>
    <w:p w:rsidR="005F4A47" w:rsidRDefault="00035BCF" w:rsidP="00035BCF">
      <w:r>
        <w:rPr>
          <w:rFonts w:hint="cs"/>
          <w:rtl/>
        </w:rPr>
        <w:t>[ולחובבי הכוונות על דרך הסוד, תוספת כוונה בביטוי "לב טהור ברא": על פי קבלה, הטהרה שייכת לספירת הבינה</w:t>
      </w:r>
      <w:r w:rsidRPr="008636EE">
        <w:rPr>
          <w:rStyle w:val="a3"/>
          <w:rtl/>
        </w:rPr>
        <w:endnoteReference w:id="14"/>
      </w:r>
      <w:r>
        <w:rPr>
          <w:rFonts w:hint="cs"/>
          <w:rtl/>
        </w:rPr>
        <w:t xml:space="preserve">, </w:t>
      </w:r>
      <w:proofErr w:type="spellStart"/>
      <w:r>
        <w:rPr>
          <w:rFonts w:hint="cs"/>
          <w:rtl/>
        </w:rPr>
        <w:t>אמא</w:t>
      </w:r>
      <w:proofErr w:type="spellEnd"/>
      <w:r>
        <w:rPr>
          <w:rFonts w:hint="cs"/>
          <w:rtl/>
        </w:rPr>
        <w:t xml:space="preserve"> </w:t>
      </w:r>
      <w:proofErr w:type="spellStart"/>
      <w:r>
        <w:rPr>
          <w:rFonts w:hint="cs"/>
          <w:rtl/>
        </w:rPr>
        <w:t>עילאה</w:t>
      </w:r>
      <w:proofErr w:type="spellEnd"/>
      <w:r>
        <w:rPr>
          <w:rFonts w:hint="cs"/>
          <w:rtl/>
        </w:rPr>
        <w:t xml:space="preserve"> (האם המקנחת את צואת בנה</w:t>
      </w:r>
      <w:r w:rsidRPr="008636EE">
        <w:rPr>
          <w:rStyle w:val="a3"/>
          <w:rtl/>
        </w:rPr>
        <w:endnoteReference w:id="15"/>
      </w:r>
      <w:r>
        <w:rPr>
          <w:rFonts w:hint="cs"/>
          <w:rtl/>
        </w:rPr>
        <w:t xml:space="preserve">), </w:t>
      </w:r>
      <w:proofErr w:type="spellStart"/>
      <w:r>
        <w:rPr>
          <w:rFonts w:hint="cs"/>
          <w:rtl/>
        </w:rPr>
        <w:t>והמקוה</w:t>
      </w:r>
      <w:proofErr w:type="spellEnd"/>
      <w:r>
        <w:rPr>
          <w:rFonts w:hint="cs"/>
          <w:rtl/>
        </w:rPr>
        <w:t xml:space="preserve"> בפרט הוא בסוד יסוד </w:t>
      </w:r>
      <w:proofErr w:type="spellStart"/>
      <w:r>
        <w:rPr>
          <w:rFonts w:hint="cs"/>
          <w:rtl/>
        </w:rPr>
        <w:t>אמא</w:t>
      </w:r>
      <w:proofErr w:type="spellEnd"/>
      <w:r w:rsidRPr="008636EE">
        <w:rPr>
          <w:rStyle w:val="a3"/>
          <w:rtl/>
        </w:rPr>
        <w:endnoteReference w:id="16"/>
      </w:r>
      <w:r>
        <w:rPr>
          <w:rFonts w:hint="cs"/>
          <w:rtl/>
        </w:rPr>
        <w:t xml:space="preserve">. השם השייך </w:t>
      </w:r>
      <w:proofErr w:type="spellStart"/>
      <w:r>
        <w:rPr>
          <w:rFonts w:hint="cs"/>
          <w:rtl/>
        </w:rPr>
        <w:t>לאמא</w:t>
      </w:r>
      <w:proofErr w:type="spellEnd"/>
      <w:r>
        <w:rPr>
          <w:rFonts w:hint="cs"/>
          <w:rtl/>
        </w:rPr>
        <w:t>-בינה הוא שם אהיה</w:t>
      </w:r>
      <w:r w:rsidRPr="008636EE">
        <w:rPr>
          <w:rStyle w:val="a3"/>
          <w:rtl/>
        </w:rPr>
        <w:endnoteReference w:id="17"/>
      </w:r>
      <w:r>
        <w:rPr>
          <w:rFonts w:hint="cs"/>
          <w:rtl/>
        </w:rPr>
        <w:t xml:space="preserve">, שאחד ממילויו </w:t>
      </w:r>
      <w:r>
        <w:rPr>
          <w:rtl/>
        </w:rPr>
        <w:t>–</w:t>
      </w:r>
      <w:r>
        <w:rPr>
          <w:rFonts w:hint="cs"/>
          <w:rtl/>
        </w:rPr>
        <w:t xml:space="preserve"> </w:t>
      </w:r>
      <w:r w:rsidRPr="0074716C">
        <w:rPr>
          <w:rFonts w:hint="cs"/>
          <w:b/>
          <w:bCs/>
          <w:sz w:val="28"/>
          <w:szCs w:val="28"/>
          <w:rtl/>
        </w:rPr>
        <w:t>אלף</w:t>
      </w:r>
      <w:r>
        <w:rPr>
          <w:rFonts w:hint="cs"/>
          <w:rtl/>
        </w:rPr>
        <w:t xml:space="preserve"> </w:t>
      </w:r>
      <w:r w:rsidRPr="0074716C">
        <w:rPr>
          <w:rFonts w:hint="cs"/>
          <w:b/>
          <w:bCs/>
          <w:sz w:val="28"/>
          <w:szCs w:val="28"/>
          <w:rtl/>
        </w:rPr>
        <w:t>הה</w:t>
      </w:r>
      <w:r>
        <w:rPr>
          <w:rFonts w:hint="cs"/>
          <w:rtl/>
        </w:rPr>
        <w:t xml:space="preserve"> </w:t>
      </w:r>
      <w:r w:rsidRPr="0074716C">
        <w:rPr>
          <w:rFonts w:hint="cs"/>
          <w:b/>
          <w:bCs/>
          <w:sz w:val="28"/>
          <w:szCs w:val="28"/>
          <w:rtl/>
        </w:rPr>
        <w:t>יוד</w:t>
      </w:r>
      <w:r>
        <w:rPr>
          <w:rFonts w:hint="cs"/>
          <w:rtl/>
        </w:rPr>
        <w:t xml:space="preserve"> </w:t>
      </w:r>
      <w:r w:rsidRPr="0074716C">
        <w:rPr>
          <w:rFonts w:hint="cs"/>
          <w:b/>
          <w:bCs/>
          <w:sz w:val="28"/>
          <w:szCs w:val="28"/>
          <w:rtl/>
        </w:rPr>
        <w:t>הה</w:t>
      </w:r>
      <w:r>
        <w:rPr>
          <w:rFonts w:hint="cs"/>
          <w:rtl/>
        </w:rPr>
        <w:t xml:space="preserve"> </w:t>
      </w:r>
      <w:r>
        <w:rPr>
          <w:rtl/>
        </w:rPr>
        <w:t>–</w:t>
      </w:r>
      <w:r>
        <w:rPr>
          <w:rFonts w:hint="cs"/>
          <w:rtl/>
        </w:rPr>
        <w:t xml:space="preserve"> אף עולה </w:t>
      </w:r>
      <w:proofErr w:type="spellStart"/>
      <w:r>
        <w:rPr>
          <w:rFonts w:hint="cs"/>
          <w:rtl/>
        </w:rPr>
        <w:t>בגימטריא</w:t>
      </w:r>
      <w:proofErr w:type="spellEnd"/>
      <w:r>
        <w:rPr>
          <w:rFonts w:hint="cs"/>
          <w:rtl/>
        </w:rPr>
        <w:t xml:space="preserve"> </w:t>
      </w:r>
      <w:proofErr w:type="spellStart"/>
      <w:r w:rsidRPr="0074716C">
        <w:rPr>
          <w:rFonts w:hint="cs"/>
          <w:b/>
          <w:bCs/>
          <w:sz w:val="28"/>
          <w:szCs w:val="28"/>
          <w:rtl/>
        </w:rPr>
        <w:t>מקוה</w:t>
      </w:r>
      <w:proofErr w:type="spellEnd"/>
      <w:r w:rsidRPr="008636EE">
        <w:rPr>
          <w:rStyle w:val="a3"/>
          <w:rtl/>
        </w:rPr>
        <w:endnoteReference w:id="18"/>
      </w:r>
      <w:r>
        <w:rPr>
          <w:rFonts w:hint="cs"/>
          <w:rtl/>
        </w:rPr>
        <w:t>. והנה, הביטוי "</w:t>
      </w:r>
      <w:r w:rsidRPr="0074716C">
        <w:rPr>
          <w:rFonts w:hint="cs"/>
          <w:b/>
          <w:bCs/>
          <w:sz w:val="28"/>
          <w:szCs w:val="28"/>
          <w:rtl/>
        </w:rPr>
        <w:t>לב</w:t>
      </w:r>
      <w:r>
        <w:rPr>
          <w:rFonts w:hint="cs"/>
          <w:rtl/>
        </w:rPr>
        <w:t xml:space="preserve"> </w:t>
      </w:r>
      <w:r w:rsidRPr="0074716C">
        <w:rPr>
          <w:rFonts w:hint="cs"/>
          <w:b/>
          <w:bCs/>
          <w:sz w:val="28"/>
          <w:szCs w:val="28"/>
          <w:rtl/>
        </w:rPr>
        <w:t>טהור</w:t>
      </w:r>
      <w:r>
        <w:rPr>
          <w:rFonts w:hint="cs"/>
          <w:rtl/>
        </w:rPr>
        <w:t xml:space="preserve"> </w:t>
      </w:r>
      <w:r w:rsidRPr="0074716C">
        <w:rPr>
          <w:rFonts w:hint="cs"/>
          <w:b/>
          <w:bCs/>
          <w:sz w:val="28"/>
          <w:szCs w:val="28"/>
          <w:rtl/>
        </w:rPr>
        <w:t>ברא</w:t>
      </w:r>
      <w:r>
        <w:rPr>
          <w:rFonts w:hint="cs"/>
          <w:rtl/>
        </w:rPr>
        <w:t xml:space="preserve">" עולה </w:t>
      </w:r>
      <w:proofErr w:type="spellStart"/>
      <w:r>
        <w:rPr>
          <w:rFonts w:hint="cs"/>
          <w:rtl/>
        </w:rPr>
        <w:t>בגימטריא</w:t>
      </w:r>
      <w:proofErr w:type="spellEnd"/>
      <w:r>
        <w:rPr>
          <w:rFonts w:hint="cs"/>
          <w:rtl/>
        </w:rPr>
        <w:t xml:space="preserve"> </w:t>
      </w:r>
      <w:r w:rsidRPr="0074716C">
        <w:rPr>
          <w:rFonts w:hint="cs"/>
          <w:b/>
          <w:bCs/>
          <w:sz w:val="28"/>
          <w:szCs w:val="28"/>
          <w:rtl/>
        </w:rPr>
        <w:t>תנה</w:t>
      </w:r>
      <w:r w:rsidRPr="00554D08">
        <w:rPr>
          <w:rStyle w:val="a7"/>
          <w:rtl/>
        </w:rPr>
        <w:fldChar w:fldCharType="begin"/>
      </w:r>
      <w:r w:rsidRPr="00554D08">
        <w:rPr>
          <w:rStyle w:val="a7"/>
          <w:rtl/>
        </w:rPr>
        <w:instrText xml:space="preserve"> </w:instrText>
      </w:r>
      <w:r w:rsidRPr="00554D08">
        <w:rPr>
          <w:rStyle w:val="a7"/>
          <w:rFonts w:hint="cs"/>
        </w:rPr>
        <w:instrText>NOTEREF</w:instrText>
      </w:r>
      <w:r w:rsidRPr="00554D08">
        <w:rPr>
          <w:rStyle w:val="a7"/>
          <w:rFonts w:hint="cs"/>
          <w:rtl/>
        </w:rPr>
        <w:instrText xml:space="preserve"> _</w:instrText>
      </w:r>
      <w:r w:rsidRPr="00554D08">
        <w:rPr>
          <w:rStyle w:val="a7"/>
          <w:rFonts w:hint="cs"/>
        </w:rPr>
        <w:instrText>Ref301913668 \h</w:instrText>
      </w:r>
      <w:r w:rsidRPr="00554D08">
        <w:rPr>
          <w:rStyle w:val="a7"/>
          <w:rtl/>
        </w:rPr>
        <w:instrText xml:space="preserve"> </w:instrText>
      </w:r>
      <w:r w:rsidRPr="00554D08">
        <w:rPr>
          <w:rStyle w:val="a7"/>
        </w:rPr>
      </w:r>
      <w:r>
        <w:rPr>
          <w:rStyle w:val="a7"/>
        </w:rPr>
        <w:instrText xml:space="preserve"> \* MERGEFORMAT </w:instrText>
      </w:r>
      <w:r w:rsidRPr="00554D08">
        <w:rPr>
          <w:rStyle w:val="a7"/>
          <w:rtl/>
        </w:rPr>
        <w:fldChar w:fldCharType="separate"/>
      </w:r>
      <w:r>
        <w:rPr>
          <w:rStyle w:val="a7"/>
          <w:rtl/>
        </w:rPr>
        <w:t>ב</w:t>
      </w:r>
      <w:r w:rsidRPr="00554D08">
        <w:rPr>
          <w:rStyle w:val="a7"/>
          <w:rtl/>
        </w:rPr>
        <w:fldChar w:fldCharType="end"/>
      </w:r>
      <w:r>
        <w:rPr>
          <w:rFonts w:hint="cs"/>
          <w:rtl/>
        </w:rPr>
        <w:t xml:space="preserve">, השלמות של שלשת מילויי שם אהיה </w:t>
      </w:r>
      <w:r>
        <w:rPr>
          <w:rtl/>
        </w:rPr>
        <w:t>–</w:t>
      </w:r>
      <w:r>
        <w:rPr>
          <w:rFonts w:hint="cs"/>
          <w:rtl/>
        </w:rPr>
        <w:t xml:space="preserve"> </w:t>
      </w:r>
      <w:r w:rsidRPr="0074716C">
        <w:rPr>
          <w:rFonts w:hint="cs"/>
          <w:b/>
          <w:bCs/>
          <w:sz w:val="28"/>
          <w:szCs w:val="28"/>
          <w:rtl/>
        </w:rPr>
        <w:t>אלף</w:t>
      </w:r>
      <w:r>
        <w:rPr>
          <w:rFonts w:hint="cs"/>
          <w:rtl/>
        </w:rPr>
        <w:t xml:space="preserve"> </w:t>
      </w:r>
      <w:r w:rsidRPr="0074716C">
        <w:rPr>
          <w:rFonts w:hint="cs"/>
          <w:b/>
          <w:bCs/>
          <w:sz w:val="28"/>
          <w:szCs w:val="28"/>
          <w:rtl/>
        </w:rPr>
        <w:t>הי</w:t>
      </w:r>
      <w:r>
        <w:rPr>
          <w:rFonts w:hint="cs"/>
          <w:rtl/>
        </w:rPr>
        <w:t xml:space="preserve"> </w:t>
      </w:r>
      <w:r w:rsidRPr="0074716C">
        <w:rPr>
          <w:rFonts w:hint="cs"/>
          <w:b/>
          <w:bCs/>
          <w:sz w:val="28"/>
          <w:szCs w:val="28"/>
          <w:rtl/>
        </w:rPr>
        <w:t>יוד</w:t>
      </w:r>
      <w:r>
        <w:rPr>
          <w:rFonts w:hint="cs"/>
          <w:rtl/>
        </w:rPr>
        <w:t xml:space="preserve"> </w:t>
      </w:r>
      <w:r w:rsidRPr="0074716C">
        <w:rPr>
          <w:rFonts w:hint="cs"/>
          <w:b/>
          <w:bCs/>
          <w:sz w:val="28"/>
          <w:szCs w:val="28"/>
          <w:rtl/>
        </w:rPr>
        <w:t>הי</w:t>
      </w:r>
      <w:r>
        <w:rPr>
          <w:rFonts w:hint="cs"/>
          <w:rtl/>
        </w:rPr>
        <w:t xml:space="preserve">, </w:t>
      </w:r>
      <w:r w:rsidRPr="0074716C">
        <w:rPr>
          <w:rFonts w:hint="cs"/>
          <w:b/>
          <w:bCs/>
          <w:sz w:val="28"/>
          <w:szCs w:val="28"/>
          <w:rtl/>
        </w:rPr>
        <w:t>אלף</w:t>
      </w:r>
      <w:r>
        <w:rPr>
          <w:rFonts w:hint="cs"/>
          <w:rtl/>
        </w:rPr>
        <w:t xml:space="preserve"> </w:t>
      </w:r>
      <w:r w:rsidRPr="0074716C">
        <w:rPr>
          <w:rFonts w:hint="cs"/>
          <w:b/>
          <w:bCs/>
          <w:sz w:val="28"/>
          <w:szCs w:val="28"/>
          <w:rtl/>
        </w:rPr>
        <w:t>הה</w:t>
      </w:r>
      <w:r>
        <w:rPr>
          <w:rFonts w:hint="cs"/>
          <w:rtl/>
        </w:rPr>
        <w:t xml:space="preserve"> </w:t>
      </w:r>
      <w:r w:rsidRPr="0074716C">
        <w:rPr>
          <w:rFonts w:hint="cs"/>
          <w:b/>
          <w:bCs/>
          <w:sz w:val="28"/>
          <w:szCs w:val="28"/>
          <w:rtl/>
        </w:rPr>
        <w:t>יוד</w:t>
      </w:r>
      <w:r>
        <w:rPr>
          <w:rFonts w:hint="cs"/>
          <w:rtl/>
        </w:rPr>
        <w:t xml:space="preserve"> </w:t>
      </w:r>
      <w:r w:rsidRPr="0074716C">
        <w:rPr>
          <w:rFonts w:hint="cs"/>
          <w:b/>
          <w:bCs/>
          <w:sz w:val="28"/>
          <w:szCs w:val="28"/>
          <w:rtl/>
        </w:rPr>
        <w:t>הה</w:t>
      </w:r>
      <w:r>
        <w:rPr>
          <w:rFonts w:hint="cs"/>
          <w:rtl/>
        </w:rPr>
        <w:t xml:space="preserve">, </w:t>
      </w:r>
      <w:r w:rsidRPr="0074716C">
        <w:rPr>
          <w:rFonts w:hint="cs"/>
          <w:b/>
          <w:bCs/>
          <w:sz w:val="28"/>
          <w:szCs w:val="28"/>
          <w:rtl/>
        </w:rPr>
        <w:t>אלף</w:t>
      </w:r>
      <w:r>
        <w:rPr>
          <w:rFonts w:hint="cs"/>
          <w:rtl/>
        </w:rPr>
        <w:t xml:space="preserve"> </w:t>
      </w:r>
      <w:r w:rsidRPr="0074716C">
        <w:rPr>
          <w:rFonts w:hint="cs"/>
          <w:b/>
          <w:bCs/>
          <w:sz w:val="28"/>
          <w:szCs w:val="28"/>
          <w:rtl/>
        </w:rPr>
        <w:t>הא</w:t>
      </w:r>
      <w:r>
        <w:rPr>
          <w:rFonts w:hint="cs"/>
          <w:rtl/>
        </w:rPr>
        <w:t xml:space="preserve"> </w:t>
      </w:r>
      <w:r w:rsidRPr="0074716C">
        <w:rPr>
          <w:rFonts w:hint="cs"/>
          <w:b/>
          <w:bCs/>
          <w:sz w:val="28"/>
          <w:szCs w:val="28"/>
          <w:rtl/>
        </w:rPr>
        <w:t>יוד</w:t>
      </w:r>
      <w:r>
        <w:rPr>
          <w:rFonts w:hint="cs"/>
          <w:rtl/>
        </w:rPr>
        <w:t xml:space="preserve"> </w:t>
      </w:r>
      <w:r w:rsidRPr="0074716C">
        <w:rPr>
          <w:rFonts w:hint="cs"/>
          <w:b/>
          <w:bCs/>
          <w:sz w:val="28"/>
          <w:szCs w:val="28"/>
          <w:rtl/>
        </w:rPr>
        <w:t>הא</w:t>
      </w:r>
      <w:r>
        <w:rPr>
          <w:rFonts w:hint="cs"/>
          <w:rtl/>
        </w:rPr>
        <w:t>, וד"ל.]</w:t>
      </w:r>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2FB" w:rsidRDefault="002262FB" w:rsidP="00035BCF">
      <w:pPr>
        <w:spacing w:after="0" w:line="240" w:lineRule="auto"/>
      </w:pPr>
      <w:r>
        <w:separator/>
      </w:r>
    </w:p>
  </w:endnote>
  <w:endnote w:type="continuationSeparator" w:id="0">
    <w:p w:rsidR="002262FB" w:rsidRDefault="002262FB" w:rsidP="00035BCF">
      <w:pPr>
        <w:spacing w:after="0" w:line="240" w:lineRule="auto"/>
      </w:pPr>
      <w:r>
        <w:continuationSeparator/>
      </w:r>
    </w:p>
  </w:endnote>
  <w:endnote w:id="1">
    <w:p w:rsidR="00035BCF" w:rsidRDefault="00035BCF" w:rsidP="00035BCF">
      <w:pPr>
        <w:pStyle w:val="a5"/>
        <w:rPr>
          <w:rFonts w:hint="cs"/>
          <w:rtl/>
        </w:rPr>
      </w:pPr>
      <w:r>
        <w:rPr>
          <w:rtl/>
        </w:rPr>
        <w:tab/>
      </w:r>
      <w:r w:rsidRPr="00944A81">
        <w:rPr>
          <w:rtl/>
        </w:rPr>
        <w:endnoteRef/>
      </w:r>
      <w:r>
        <w:rPr>
          <w:rtl/>
        </w:rPr>
        <w:t>.</w:t>
      </w:r>
      <w:r>
        <w:rPr>
          <w:rtl/>
        </w:rPr>
        <w:tab/>
      </w:r>
      <w:r>
        <w:rPr>
          <w:rFonts w:hint="cs"/>
          <w:rtl/>
        </w:rPr>
        <w:t xml:space="preserve">תהלים נא, </w:t>
      </w:r>
      <w:proofErr w:type="spellStart"/>
      <w:r>
        <w:rPr>
          <w:rFonts w:hint="cs"/>
          <w:rtl/>
        </w:rPr>
        <w:t>יב</w:t>
      </w:r>
      <w:proofErr w:type="spellEnd"/>
      <w:r>
        <w:rPr>
          <w:rFonts w:hint="cs"/>
          <w:rtl/>
        </w:rPr>
        <w:t>.</w:t>
      </w:r>
    </w:p>
  </w:endnote>
  <w:endnote w:id="2">
    <w:p w:rsidR="00035BCF" w:rsidRDefault="00035BCF" w:rsidP="00035BCF">
      <w:pPr>
        <w:pStyle w:val="a5"/>
        <w:rPr>
          <w:rFonts w:hint="cs"/>
        </w:rPr>
      </w:pPr>
      <w:r>
        <w:rPr>
          <w:rtl/>
        </w:rPr>
        <w:tab/>
      </w:r>
      <w:r w:rsidRPr="00944A81">
        <w:rPr>
          <w:rtl/>
        </w:rPr>
        <w:endnoteRef/>
      </w:r>
      <w:r>
        <w:rPr>
          <w:rtl/>
        </w:rPr>
        <w:t>.</w:t>
      </w:r>
      <w:r>
        <w:rPr>
          <w:rtl/>
        </w:rPr>
        <w:tab/>
      </w:r>
      <w:r>
        <w:rPr>
          <w:rFonts w:hint="cs"/>
          <w:rtl/>
        </w:rPr>
        <w:t>ראה ספר הליקוטים עה"פ.</w:t>
      </w:r>
    </w:p>
  </w:endnote>
  <w:endnote w:id="3">
    <w:p w:rsidR="00035BCF" w:rsidRDefault="00035BCF" w:rsidP="00035BCF">
      <w:pPr>
        <w:pStyle w:val="a5"/>
        <w:rPr>
          <w:rFonts w:hint="cs"/>
          <w:rtl/>
        </w:rPr>
      </w:pPr>
      <w:r>
        <w:rPr>
          <w:rtl/>
        </w:rPr>
        <w:tab/>
      </w:r>
      <w:r w:rsidRPr="00944A81">
        <w:rPr>
          <w:rtl/>
        </w:rPr>
        <w:endnoteRef/>
      </w:r>
      <w:r>
        <w:rPr>
          <w:rtl/>
        </w:rPr>
        <w:t>.</w:t>
      </w:r>
      <w:r>
        <w:rPr>
          <w:rtl/>
        </w:rPr>
        <w:tab/>
      </w:r>
      <w:r>
        <w:rPr>
          <w:rFonts w:hint="cs"/>
          <w:rtl/>
        </w:rPr>
        <w:t xml:space="preserve">ראה תניא </w:t>
      </w:r>
      <w:proofErr w:type="spellStart"/>
      <w:r>
        <w:rPr>
          <w:rFonts w:hint="cs"/>
          <w:rtl/>
        </w:rPr>
        <w:t>פכ"ט</w:t>
      </w:r>
      <w:proofErr w:type="spellEnd"/>
      <w:r>
        <w:rPr>
          <w:rFonts w:hint="cs"/>
          <w:rtl/>
        </w:rPr>
        <w:t>.</w:t>
      </w:r>
    </w:p>
  </w:endnote>
  <w:endnote w:id="4">
    <w:p w:rsidR="00035BCF" w:rsidRDefault="00035BCF" w:rsidP="00035BCF">
      <w:pPr>
        <w:pStyle w:val="a5"/>
        <w:rPr>
          <w:rFonts w:hint="cs"/>
          <w:rtl/>
        </w:rPr>
      </w:pPr>
      <w:r>
        <w:rPr>
          <w:rtl/>
        </w:rPr>
        <w:tab/>
      </w:r>
      <w:r w:rsidRPr="00944A81">
        <w:rPr>
          <w:rtl/>
        </w:rPr>
        <w:endnoteRef/>
      </w:r>
      <w:r>
        <w:rPr>
          <w:rtl/>
        </w:rPr>
        <w:t>.</w:t>
      </w:r>
      <w:r>
        <w:rPr>
          <w:rtl/>
        </w:rPr>
        <w:tab/>
      </w:r>
      <w:r>
        <w:rPr>
          <w:rFonts w:hint="cs"/>
          <w:rtl/>
        </w:rPr>
        <w:t xml:space="preserve">ראה כתר שם טוב (הוצאת </w:t>
      </w:r>
      <w:proofErr w:type="spellStart"/>
      <w:r>
        <w:rPr>
          <w:rFonts w:hint="cs"/>
          <w:rtl/>
        </w:rPr>
        <w:t>קה"ת</w:t>
      </w:r>
      <w:proofErr w:type="spellEnd"/>
      <w:r>
        <w:rPr>
          <w:rFonts w:hint="cs"/>
          <w:rtl/>
        </w:rPr>
        <w:t xml:space="preserve">) </w:t>
      </w:r>
      <w:proofErr w:type="spellStart"/>
      <w:r>
        <w:rPr>
          <w:rFonts w:hint="cs"/>
          <w:rtl/>
        </w:rPr>
        <w:t>קטז</w:t>
      </w:r>
      <w:proofErr w:type="spellEnd"/>
      <w:r>
        <w:rPr>
          <w:rFonts w:hint="cs"/>
          <w:rtl/>
        </w:rPr>
        <w:t>.</w:t>
      </w:r>
    </w:p>
  </w:endnote>
  <w:endnote w:id="5">
    <w:p w:rsidR="00035BCF" w:rsidRPr="00AE26B9" w:rsidRDefault="00035BCF" w:rsidP="00035BCF">
      <w:pPr>
        <w:pStyle w:val="a5"/>
        <w:rPr>
          <w:rFonts w:hint="cs"/>
          <w:rtl/>
        </w:rPr>
      </w:pPr>
      <w:r>
        <w:rPr>
          <w:rtl/>
        </w:rPr>
        <w:tab/>
      </w:r>
      <w:r w:rsidRPr="00944A81">
        <w:rPr>
          <w:rtl/>
        </w:rPr>
        <w:endnoteRef/>
      </w:r>
      <w:r>
        <w:rPr>
          <w:rtl/>
        </w:rPr>
        <w:t>.</w:t>
      </w:r>
      <w:r>
        <w:rPr>
          <w:rtl/>
        </w:rPr>
        <w:tab/>
      </w:r>
      <w:r>
        <w:rPr>
          <w:rFonts w:hint="cs"/>
          <w:rtl/>
        </w:rPr>
        <w:t xml:space="preserve">ראה תניא </w:t>
      </w:r>
      <w:proofErr w:type="spellStart"/>
      <w:r>
        <w:rPr>
          <w:rFonts w:hint="cs"/>
          <w:rtl/>
        </w:rPr>
        <w:t>פכ"ו</w:t>
      </w:r>
      <w:proofErr w:type="spellEnd"/>
      <w:r>
        <w:rPr>
          <w:rFonts w:hint="cs"/>
          <w:rtl/>
        </w:rPr>
        <w:t>.</w:t>
      </w:r>
    </w:p>
  </w:endnote>
  <w:endnote w:id="6">
    <w:p w:rsidR="00035BCF" w:rsidRDefault="00035BCF" w:rsidP="00035BCF">
      <w:pPr>
        <w:pStyle w:val="a5"/>
        <w:rPr>
          <w:rFonts w:hint="cs"/>
          <w:rtl/>
        </w:rPr>
      </w:pPr>
      <w:r>
        <w:rPr>
          <w:rtl/>
        </w:rPr>
        <w:tab/>
      </w:r>
      <w:r w:rsidRPr="00944A81">
        <w:rPr>
          <w:rtl/>
        </w:rPr>
        <w:endnoteRef/>
      </w:r>
      <w:r>
        <w:rPr>
          <w:rtl/>
        </w:rPr>
        <w:t>.</w:t>
      </w:r>
      <w:r>
        <w:rPr>
          <w:rtl/>
        </w:rPr>
        <w:tab/>
      </w:r>
      <w:r>
        <w:rPr>
          <w:rFonts w:hint="cs"/>
          <w:rtl/>
        </w:rPr>
        <w:t xml:space="preserve">ויקרא </w:t>
      </w:r>
      <w:proofErr w:type="spellStart"/>
      <w:r>
        <w:rPr>
          <w:rFonts w:hint="cs"/>
          <w:rtl/>
        </w:rPr>
        <w:t>יב</w:t>
      </w:r>
      <w:proofErr w:type="spellEnd"/>
      <w:r>
        <w:rPr>
          <w:rFonts w:hint="cs"/>
          <w:rtl/>
        </w:rPr>
        <w:t>, ז.</w:t>
      </w:r>
    </w:p>
  </w:endnote>
  <w:endnote w:id="7">
    <w:p w:rsidR="00035BCF" w:rsidRDefault="00035BCF" w:rsidP="00035BCF">
      <w:pPr>
        <w:pStyle w:val="a5"/>
        <w:rPr>
          <w:rFonts w:hint="cs"/>
          <w:rtl/>
        </w:rPr>
      </w:pPr>
      <w:r>
        <w:rPr>
          <w:rtl/>
        </w:rPr>
        <w:tab/>
      </w:r>
      <w:r w:rsidRPr="00944A81">
        <w:rPr>
          <w:rtl/>
        </w:rPr>
        <w:endnoteRef/>
      </w:r>
      <w:r>
        <w:rPr>
          <w:rtl/>
        </w:rPr>
        <w:t>.</w:t>
      </w:r>
      <w:r>
        <w:rPr>
          <w:rtl/>
        </w:rPr>
        <w:tab/>
      </w:r>
      <w:r>
        <w:rPr>
          <w:rFonts w:hint="cs"/>
          <w:rtl/>
        </w:rPr>
        <w:t>שם יד, ח ובכ"ד.</w:t>
      </w:r>
    </w:p>
  </w:endnote>
  <w:endnote w:id="8">
    <w:p w:rsidR="00035BCF" w:rsidRDefault="00035BCF" w:rsidP="00035BCF">
      <w:pPr>
        <w:pStyle w:val="a5"/>
        <w:rPr>
          <w:rFonts w:hint="cs"/>
          <w:rtl/>
        </w:rPr>
      </w:pPr>
      <w:r>
        <w:rPr>
          <w:rtl/>
        </w:rPr>
        <w:tab/>
      </w:r>
      <w:r w:rsidRPr="00944A81">
        <w:rPr>
          <w:rtl/>
        </w:rPr>
        <w:endnoteRef/>
      </w:r>
      <w:r>
        <w:rPr>
          <w:rtl/>
        </w:rPr>
        <w:t>.</w:t>
      </w:r>
      <w:r>
        <w:rPr>
          <w:rtl/>
        </w:rPr>
        <w:tab/>
      </w:r>
      <w:r>
        <w:rPr>
          <w:rFonts w:hint="cs"/>
          <w:rtl/>
        </w:rPr>
        <w:t xml:space="preserve">שם טו, </w:t>
      </w:r>
      <w:proofErr w:type="spellStart"/>
      <w:r>
        <w:rPr>
          <w:rFonts w:hint="cs"/>
          <w:rtl/>
        </w:rPr>
        <w:t>יז</w:t>
      </w:r>
      <w:proofErr w:type="spellEnd"/>
      <w:r>
        <w:rPr>
          <w:rFonts w:hint="cs"/>
          <w:rtl/>
        </w:rPr>
        <w:t xml:space="preserve"> ובכ"ד.</w:t>
      </w:r>
    </w:p>
  </w:endnote>
  <w:endnote w:id="9">
    <w:p w:rsidR="00035BCF" w:rsidRDefault="00035BCF" w:rsidP="00035BCF">
      <w:pPr>
        <w:pStyle w:val="a5"/>
        <w:rPr>
          <w:rFonts w:hint="cs"/>
          <w:rtl/>
        </w:rPr>
      </w:pPr>
      <w:r>
        <w:rPr>
          <w:rtl/>
        </w:rPr>
        <w:tab/>
      </w:r>
      <w:r w:rsidRPr="00944A81">
        <w:rPr>
          <w:rtl/>
        </w:rPr>
        <w:endnoteRef/>
      </w:r>
      <w:r>
        <w:rPr>
          <w:rtl/>
        </w:rPr>
        <w:t>.</w:t>
      </w:r>
      <w:r>
        <w:rPr>
          <w:rtl/>
        </w:rPr>
        <w:tab/>
      </w:r>
      <w:r>
        <w:rPr>
          <w:rFonts w:hint="cs"/>
          <w:rtl/>
        </w:rPr>
        <w:t>ראה רמב"ם סוף הלכות מקוואות וספר טהרה.</w:t>
      </w:r>
    </w:p>
  </w:endnote>
  <w:endnote w:id="10">
    <w:p w:rsidR="00035BCF" w:rsidRDefault="00035BCF" w:rsidP="00035BCF">
      <w:pPr>
        <w:pStyle w:val="a5"/>
        <w:rPr>
          <w:rFonts w:hint="cs"/>
          <w:rtl/>
        </w:rPr>
      </w:pPr>
      <w:r>
        <w:rPr>
          <w:rtl/>
        </w:rPr>
        <w:tab/>
      </w:r>
      <w:r w:rsidRPr="00944A81">
        <w:rPr>
          <w:rtl/>
        </w:rPr>
        <w:endnoteRef/>
      </w:r>
      <w:r>
        <w:rPr>
          <w:rtl/>
        </w:rPr>
        <w:t>.</w:t>
      </w:r>
      <w:r>
        <w:rPr>
          <w:rtl/>
        </w:rPr>
        <w:tab/>
      </w:r>
      <w:r>
        <w:rPr>
          <w:rFonts w:hint="cs"/>
          <w:rtl/>
        </w:rPr>
        <w:t xml:space="preserve">ראה בסוף תורה זו על הקשר של הטהרה </w:t>
      </w:r>
      <w:proofErr w:type="spellStart"/>
      <w:r>
        <w:rPr>
          <w:rFonts w:hint="cs"/>
          <w:rtl/>
        </w:rPr>
        <w:t>לאמא</w:t>
      </w:r>
      <w:proofErr w:type="spellEnd"/>
      <w:r>
        <w:rPr>
          <w:rFonts w:hint="cs"/>
          <w:rtl/>
        </w:rPr>
        <w:t xml:space="preserve"> ועוד </w:t>
      </w:r>
      <w:proofErr w:type="spellStart"/>
      <w:r>
        <w:rPr>
          <w:rFonts w:hint="cs"/>
          <w:rtl/>
        </w:rPr>
        <w:t>בענין</w:t>
      </w:r>
      <w:proofErr w:type="spellEnd"/>
      <w:r>
        <w:rPr>
          <w:rFonts w:hint="cs"/>
          <w:rtl/>
        </w:rPr>
        <w:t xml:space="preserve"> זה גם בתורה הבאה.</w:t>
      </w:r>
    </w:p>
  </w:endnote>
  <w:endnote w:id="11">
    <w:p w:rsidR="00035BCF" w:rsidRDefault="00035BCF" w:rsidP="00035BCF">
      <w:pPr>
        <w:pStyle w:val="a5"/>
        <w:rPr>
          <w:rFonts w:hint="cs"/>
          <w:rtl/>
        </w:rPr>
      </w:pPr>
      <w:r>
        <w:rPr>
          <w:rtl/>
        </w:rPr>
        <w:tab/>
      </w:r>
      <w:r w:rsidRPr="00944A81">
        <w:rPr>
          <w:rtl/>
        </w:rPr>
        <w:endnoteRef/>
      </w:r>
      <w:r>
        <w:rPr>
          <w:rtl/>
        </w:rPr>
        <w:t>.</w:t>
      </w:r>
      <w:r>
        <w:rPr>
          <w:rtl/>
        </w:rPr>
        <w:tab/>
      </w:r>
      <w:r>
        <w:rPr>
          <w:rFonts w:hint="cs"/>
          <w:rtl/>
        </w:rPr>
        <w:t xml:space="preserve">ראה אגרות קדש חי"ח עמ' </w:t>
      </w:r>
      <w:proofErr w:type="spellStart"/>
      <w:r>
        <w:rPr>
          <w:rFonts w:hint="cs"/>
          <w:rtl/>
        </w:rPr>
        <w:t>רלה</w:t>
      </w:r>
      <w:proofErr w:type="spellEnd"/>
      <w:r>
        <w:rPr>
          <w:rFonts w:hint="cs"/>
          <w:rtl/>
        </w:rPr>
        <w:t>, ובריבוי מקומות נוספים.</w:t>
      </w:r>
    </w:p>
  </w:endnote>
  <w:endnote w:id="12">
    <w:p w:rsidR="00035BCF" w:rsidRDefault="00035BCF" w:rsidP="00035BCF">
      <w:pPr>
        <w:pStyle w:val="a5"/>
        <w:rPr>
          <w:rFonts w:hint="cs"/>
          <w:rtl/>
        </w:rPr>
      </w:pPr>
      <w:r>
        <w:rPr>
          <w:rtl/>
        </w:rPr>
        <w:tab/>
      </w:r>
      <w:r w:rsidRPr="00944A81">
        <w:rPr>
          <w:rtl/>
        </w:rPr>
        <w:endnoteRef/>
      </w:r>
      <w:r>
        <w:rPr>
          <w:rtl/>
        </w:rPr>
        <w:t>.</w:t>
      </w:r>
      <w:r>
        <w:rPr>
          <w:rtl/>
        </w:rPr>
        <w:tab/>
      </w:r>
      <w:r>
        <w:rPr>
          <w:rFonts w:hint="cs"/>
          <w:rtl/>
        </w:rPr>
        <w:t>עירובין ק, ב.</w:t>
      </w:r>
    </w:p>
  </w:endnote>
  <w:endnote w:id="13">
    <w:p w:rsidR="00035BCF" w:rsidRDefault="00035BCF" w:rsidP="00035BCF">
      <w:pPr>
        <w:pStyle w:val="a5"/>
        <w:rPr>
          <w:rFonts w:hint="cs"/>
        </w:rPr>
      </w:pPr>
      <w:r>
        <w:rPr>
          <w:rtl/>
        </w:rPr>
        <w:tab/>
      </w:r>
      <w:r w:rsidRPr="00944A81">
        <w:rPr>
          <w:rtl/>
        </w:rPr>
        <w:endnoteRef/>
      </w:r>
      <w:r>
        <w:rPr>
          <w:rtl/>
        </w:rPr>
        <w:t>.</w:t>
      </w:r>
      <w:r>
        <w:rPr>
          <w:rtl/>
        </w:rPr>
        <w:tab/>
      </w:r>
      <w:proofErr w:type="spellStart"/>
      <w:r w:rsidRPr="008E4CEC">
        <w:rPr>
          <w:rtl/>
        </w:rPr>
        <w:t>לקו"ת</w:t>
      </w:r>
      <w:proofErr w:type="spellEnd"/>
      <w:r w:rsidRPr="008E4CEC">
        <w:rPr>
          <w:rtl/>
        </w:rPr>
        <w:t xml:space="preserve"> </w:t>
      </w:r>
      <w:proofErr w:type="spellStart"/>
      <w:r w:rsidRPr="008E4CEC">
        <w:rPr>
          <w:rtl/>
        </w:rPr>
        <w:t>בחוקותי</w:t>
      </w:r>
      <w:proofErr w:type="spellEnd"/>
      <w:r w:rsidRPr="008E4CEC">
        <w:rPr>
          <w:rtl/>
        </w:rPr>
        <w:t xml:space="preserve"> מה, ג</w:t>
      </w:r>
      <w:r>
        <w:rPr>
          <w:rFonts w:hint="cs"/>
          <w:rtl/>
        </w:rPr>
        <w:t>;</w:t>
      </w:r>
      <w:r>
        <w:rPr>
          <w:rtl/>
        </w:rPr>
        <w:t xml:space="preserve"> </w:t>
      </w:r>
      <w:proofErr w:type="spellStart"/>
      <w:r>
        <w:rPr>
          <w:rtl/>
        </w:rPr>
        <w:t>מז</w:t>
      </w:r>
      <w:proofErr w:type="spellEnd"/>
      <w:r>
        <w:rPr>
          <w:rtl/>
        </w:rPr>
        <w:t>, ב</w:t>
      </w:r>
      <w:r w:rsidRPr="008E4CEC">
        <w:rPr>
          <w:rtl/>
        </w:rPr>
        <w:t xml:space="preserve"> ובכ</w:t>
      </w:r>
      <w:r>
        <w:rPr>
          <w:rFonts w:hint="cs"/>
          <w:rtl/>
        </w:rPr>
        <w:t>"ד</w:t>
      </w:r>
      <w:r w:rsidRPr="008E4CEC">
        <w:rPr>
          <w:rtl/>
        </w:rPr>
        <w:t>.</w:t>
      </w:r>
    </w:p>
  </w:endnote>
  <w:endnote w:id="14">
    <w:p w:rsidR="00035BCF" w:rsidRDefault="00035BCF" w:rsidP="00035BCF">
      <w:pPr>
        <w:pStyle w:val="a5"/>
        <w:rPr>
          <w:rFonts w:hint="cs"/>
        </w:rPr>
      </w:pPr>
      <w:r>
        <w:rPr>
          <w:rtl/>
        </w:rPr>
        <w:tab/>
      </w:r>
      <w:r w:rsidRPr="00944A81">
        <w:rPr>
          <w:rtl/>
        </w:rPr>
        <w:endnoteRef/>
      </w:r>
      <w:r>
        <w:rPr>
          <w:rtl/>
        </w:rPr>
        <w:t>.</w:t>
      </w:r>
      <w:r>
        <w:rPr>
          <w:rtl/>
        </w:rPr>
        <w:tab/>
      </w:r>
      <w:r>
        <w:rPr>
          <w:rFonts w:hint="cs"/>
          <w:rtl/>
        </w:rPr>
        <w:t xml:space="preserve">עמק המלך שי"א פ"ח. </w:t>
      </w:r>
      <w:r w:rsidRPr="00993AC5">
        <w:rPr>
          <w:rtl/>
        </w:rPr>
        <w:t xml:space="preserve">ביאורי הזהר לצמח צדק </w:t>
      </w:r>
      <w:proofErr w:type="spellStart"/>
      <w:r w:rsidRPr="00993AC5">
        <w:rPr>
          <w:rtl/>
        </w:rPr>
        <w:t>ח"ב</w:t>
      </w:r>
      <w:proofErr w:type="spellEnd"/>
      <w:r w:rsidRPr="00993AC5">
        <w:rPr>
          <w:rtl/>
        </w:rPr>
        <w:t xml:space="preserve"> עמ' תתקלט ואילך.</w:t>
      </w:r>
    </w:p>
  </w:endnote>
  <w:endnote w:id="15">
    <w:p w:rsidR="00035BCF" w:rsidRDefault="00035BCF" w:rsidP="00035BCF">
      <w:pPr>
        <w:pStyle w:val="a5"/>
        <w:rPr>
          <w:rFonts w:hint="cs"/>
        </w:rPr>
      </w:pPr>
      <w:r>
        <w:rPr>
          <w:rtl/>
        </w:rPr>
        <w:tab/>
      </w:r>
      <w:r w:rsidRPr="00944A81">
        <w:rPr>
          <w:rtl/>
        </w:rPr>
        <w:endnoteRef/>
      </w:r>
      <w:r>
        <w:rPr>
          <w:rtl/>
        </w:rPr>
        <w:t>.</w:t>
      </w:r>
      <w:r>
        <w:rPr>
          <w:rtl/>
        </w:rPr>
        <w:tab/>
      </w:r>
      <w:r>
        <w:rPr>
          <w:rFonts w:hint="cs"/>
          <w:rtl/>
        </w:rPr>
        <w:t xml:space="preserve">במדבר רבה </w:t>
      </w:r>
      <w:proofErr w:type="spellStart"/>
      <w:r>
        <w:rPr>
          <w:rFonts w:hint="cs"/>
          <w:rtl/>
        </w:rPr>
        <w:t>יט</w:t>
      </w:r>
      <w:proofErr w:type="spellEnd"/>
      <w:r>
        <w:rPr>
          <w:rFonts w:hint="cs"/>
          <w:rtl/>
        </w:rPr>
        <w:t>, ח.</w:t>
      </w:r>
    </w:p>
  </w:endnote>
  <w:endnote w:id="16">
    <w:p w:rsidR="00035BCF" w:rsidRDefault="00035BCF" w:rsidP="00035BCF">
      <w:pPr>
        <w:pStyle w:val="a5"/>
        <w:rPr>
          <w:rFonts w:hint="cs"/>
          <w:rtl/>
        </w:rPr>
      </w:pPr>
      <w:r>
        <w:rPr>
          <w:rtl/>
        </w:rPr>
        <w:tab/>
      </w:r>
      <w:r w:rsidRPr="00944A81">
        <w:rPr>
          <w:rtl/>
        </w:rPr>
        <w:endnoteRef/>
      </w:r>
      <w:r>
        <w:rPr>
          <w:rtl/>
        </w:rPr>
        <w:t>.</w:t>
      </w:r>
      <w:r>
        <w:rPr>
          <w:rtl/>
        </w:rPr>
        <w:tab/>
      </w:r>
      <w:r w:rsidRPr="00576B6F">
        <w:rPr>
          <w:rtl/>
        </w:rPr>
        <w:t xml:space="preserve">ראה פרי עץ חיים שער השבת פ"ג; ובארוכה בסידור עם </w:t>
      </w:r>
      <w:proofErr w:type="spellStart"/>
      <w:r w:rsidRPr="00576B6F">
        <w:rPr>
          <w:rtl/>
        </w:rPr>
        <w:t>דא"ח</w:t>
      </w:r>
      <w:proofErr w:type="spellEnd"/>
      <w:r w:rsidRPr="00576B6F">
        <w:rPr>
          <w:rtl/>
        </w:rPr>
        <w:t xml:space="preserve"> כוונת </w:t>
      </w:r>
      <w:proofErr w:type="spellStart"/>
      <w:r w:rsidRPr="00576B6F">
        <w:rPr>
          <w:rtl/>
        </w:rPr>
        <w:t>המקוה</w:t>
      </w:r>
      <w:proofErr w:type="spellEnd"/>
      <w:r w:rsidRPr="00576B6F">
        <w:rPr>
          <w:rtl/>
        </w:rPr>
        <w:t xml:space="preserve"> (קנו, א ואילך).</w:t>
      </w:r>
    </w:p>
  </w:endnote>
  <w:endnote w:id="17">
    <w:p w:rsidR="00035BCF" w:rsidRPr="00E862B9" w:rsidRDefault="00035BCF" w:rsidP="00035BCF">
      <w:pPr>
        <w:pStyle w:val="a5"/>
        <w:rPr>
          <w:rFonts w:hint="cs"/>
        </w:rPr>
      </w:pPr>
      <w:r>
        <w:rPr>
          <w:rtl/>
        </w:rPr>
        <w:tab/>
      </w:r>
      <w:r w:rsidRPr="00944A81">
        <w:rPr>
          <w:rtl/>
        </w:rPr>
        <w:endnoteRef/>
      </w:r>
      <w:r>
        <w:rPr>
          <w:rtl/>
        </w:rPr>
        <w:t>.</w:t>
      </w:r>
      <w:r>
        <w:rPr>
          <w:rtl/>
        </w:rPr>
        <w:tab/>
      </w:r>
      <w:r>
        <w:rPr>
          <w:rFonts w:hint="cs"/>
          <w:rtl/>
        </w:rPr>
        <w:t xml:space="preserve">ראה </w:t>
      </w:r>
      <w:proofErr w:type="spellStart"/>
      <w:r>
        <w:rPr>
          <w:rFonts w:hint="cs"/>
          <w:rtl/>
        </w:rPr>
        <w:t>לקוטי</w:t>
      </w:r>
      <w:proofErr w:type="spellEnd"/>
      <w:r>
        <w:rPr>
          <w:rFonts w:hint="cs"/>
          <w:rtl/>
        </w:rPr>
        <w:t xml:space="preserve"> תורה </w:t>
      </w:r>
      <w:proofErr w:type="spellStart"/>
      <w:r>
        <w:rPr>
          <w:rFonts w:hint="cs"/>
          <w:rtl/>
        </w:rPr>
        <w:t>לאריז"ל</w:t>
      </w:r>
      <w:proofErr w:type="spellEnd"/>
      <w:r>
        <w:rPr>
          <w:rFonts w:hint="cs"/>
          <w:rtl/>
        </w:rPr>
        <w:t xml:space="preserve"> משלי ו;</w:t>
      </w:r>
      <w:r w:rsidRPr="00E862B9">
        <w:rPr>
          <w:rtl/>
        </w:rPr>
        <w:t xml:space="preserve"> פרי עץ חיים שער </w:t>
      </w:r>
      <w:proofErr w:type="spellStart"/>
      <w:r w:rsidRPr="00E862B9">
        <w:rPr>
          <w:rtl/>
        </w:rPr>
        <w:t>הק"ש</w:t>
      </w:r>
      <w:proofErr w:type="spellEnd"/>
      <w:r w:rsidRPr="00E862B9">
        <w:rPr>
          <w:rtl/>
        </w:rPr>
        <w:t xml:space="preserve"> </w:t>
      </w:r>
      <w:proofErr w:type="spellStart"/>
      <w:r w:rsidRPr="00E862B9">
        <w:rPr>
          <w:rtl/>
        </w:rPr>
        <w:t>פי"ב</w:t>
      </w:r>
      <w:proofErr w:type="spellEnd"/>
      <w:r w:rsidRPr="00E862B9">
        <w:rPr>
          <w:rtl/>
        </w:rPr>
        <w:t xml:space="preserve"> ועוד; ראה גם פרדס שער ח </w:t>
      </w:r>
      <w:proofErr w:type="spellStart"/>
      <w:r w:rsidRPr="00E862B9">
        <w:rPr>
          <w:rtl/>
        </w:rPr>
        <w:t>פכ"ג</w:t>
      </w:r>
      <w:proofErr w:type="spellEnd"/>
      <w:r w:rsidRPr="00E862B9">
        <w:rPr>
          <w:rtl/>
        </w:rPr>
        <w:t xml:space="preserve"> ועוד</w:t>
      </w:r>
      <w:r>
        <w:rPr>
          <w:rFonts w:hint="cs"/>
          <w:rtl/>
        </w:rPr>
        <w:t>.</w:t>
      </w:r>
    </w:p>
  </w:endnote>
  <w:endnote w:id="18">
    <w:p w:rsidR="00035BCF" w:rsidRDefault="00035BCF" w:rsidP="00035BCF">
      <w:pPr>
        <w:pStyle w:val="a5"/>
        <w:rPr>
          <w:rFonts w:hint="cs"/>
          <w:rtl/>
        </w:rPr>
      </w:pPr>
      <w:r>
        <w:rPr>
          <w:rtl/>
        </w:rPr>
        <w:tab/>
      </w:r>
      <w:r w:rsidRPr="00944A81">
        <w:rPr>
          <w:rtl/>
        </w:rPr>
        <w:endnoteRef/>
      </w:r>
      <w:r>
        <w:rPr>
          <w:rtl/>
        </w:rPr>
        <w:t>.</w:t>
      </w:r>
      <w:r>
        <w:rPr>
          <w:rtl/>
        </w:rPr>
        <w:tab/>
      </w:r>
      <w:r>
        <w:rPr>
          <w:rFonts w:hint="cs"/>
          <w:rtl/>
        </w:rPr>
        <w:t>ראה כתר שם טוב (הוצאת קהת) 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2FB" w:rsidRDefault="002262FB" w:rsidP="00035BCF">
      <w:pPr>
        <w:spacing w:after="0" w:line="240" w:lineRule="auto"/>
      </w:pPr>
      <w:r>
        <w:separator/>
      </w:r>
    </w:p>
  </w:footnote>
  <w:footnote w:type="continuationSeparator" w:id="0">
    <w:p w:rsidR="002262FB" w:rsidRDefault="002262FB" w:rsidP="00035B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BF4"/>
    <w:rsid w:val="00035BCF"/>
    <w:rsid w:val="00061E65"/>
    <w:rsid w:val="002262FB"/>
    <w:rsid w:val="00250BF4"/>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35BCF"/>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035BCF"/>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35BCF"/>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035BCF"/>
    <w:rPr>
      <w:noProof/>
      <w:position w:val="-4"/>
      <w:szCs w:val="26"/>
      <w:vertAlign w:val="superscript"/>
    </w:rPr>
  </w:style>
  <w:style w:type="character" w:customStyle="1" w:styleId="a4">
    <w:name w:val="מרים"/>
    <w:basedOn w:val="a0"/>
    <w:rsid w:val="00035BCF"/>
    <w:rPr>
      <w:rFonts w:cs="MiriamMFO"/>
      <w:w w:val="100"/>
      <w:sz w:val="21"/>
      <w:szCs w:val="23"/>
    </w:rPr>
  </w:style>
  <w:style w:type="paragraph" w:styleId="a5">
    <w:name w:val="endnote text"/>
    <w:aliases w:val="Endnote Text"/>
    <w:basedOn w:val="a"/>
    <w:link w:val="a6"/>
    <w:semiHidden/>
    <w:rsid w:val="00035BCF"/>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035BCF"/>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035BCF"/>
    <w:rPr>
      <w:noProof/>
      <w:position w:val="-4"/>
      <w:szCs w:val="27"/>
      <w:vertAlign w:val="superscript"/>
    </w:rPr>
  </w:style>
  <w:style w:type="paragraph" w:customStyle="1" w:styleId="a8">
    <w:name w:val="פתיח תו"/>
    <w:basedOn w:val="a"/>
    <w:link w:val="a9"/>
    <w:rsid w:val="00035BCF"/>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035BCF"/>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35BCF"/>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035BCF"/>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35BCF"/>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035BCF"/>
    <w:rPr>
      <w:noProof/>
      <w:position w:val="-4"/>
      <w:szCs w:val="26"/>
      <w:vertAlign w:val="superscript"/>
    </w:rPr>
  </w:style>
  <w:style w:type="character" w:customStyle="1" w:styleId="a4">
    <w:name w:val="מרים"/>
    <w:basedOn w:val="a0"/>
    <w:rsid w:val="00035BCF"/>
    <w:rPr>
      <w:rFonts w:cs="MiriamMFO"/>
      <w:w w:val="100"/>
      <w:sz w:val="21"/>
      <w:szCs w:val="23"/>
    </w:rPr>
  </w:style>
  <w:style w:type="paragraph" w:styleId="a5">
    <w:name w:val="endnote text"/>
    <w:aliases w:val="Endnote Text"/>
    <w:basedOn w:val="a"/>
    <w:link w:val="a6"/>
    <w:semiHidden/>
    <w:rsid w:val="00035BCF"/>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035BCF"/>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035BCF"/>
    <w:rPr>
      <w:noProof/>
      <w:position w:val="-4"/>
      <w:szCs w:val="27"/>
      <w:vertAlign w:val="superscript"/>
    </w:rPr>
  </w:style>
  <w:style w:type="paragraph" w:customStyle="1" w:styleId="a8">
    <w:name w:val="פתיח תו"/>
    <w:basedOn w:val="a"/>
    <w:link w:val="a9"/>
    <w:rsid w:val="00035BCF"/>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035BCF"/>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406</Words>
  <Characters>2033</Characters>
  <Application>Microsoft Office Word</Application>
  <DocSecurity>0</DocSecurity>
  <Lines>16</Lines>
  <Paragraphs>4</Paragraphs>
  <ScaleCrop>false</ScaleCrop>
  <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2017-08-16T10:36:00Z</dcterms:created>
  <dcterms:modified xsi:type="dcterms:W3CDTF">2017-08-16T10:36:00Z</dcterms:modified>
</cp:coreProperties>
</file>