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9C" w:rsidRDefault="00EA5B9C" w:rsidP="00EA5B9C">
      <w:pPr>
        <w:pStyle w:val="2"/>
        <w:rPr>
          <w:rFonts w:hint="cs"/>
          <w:rtl/>
        </w:rPr>
      </w:pPr>
      <w:bookmarkStart w:id="0" w:name="_Toc302128610"/>
      <w:bookmarkStart w:id="1" w:name="_Ref302128980"/>
      <w:r>
        <w:rPr>
          <w:rFonts w:hint="cs"/>
          <w:rtl/>
        </w:rPr>
        <w:t>חמש טבילות ועשרה קידושים</w:t>
      </w:r>
      <w:bookmarkEnd w:id="0"/>
      <w:bookmarkEnd w:id="1"/>
    </w:p>
    <w:p w:rsidR="00EA5B9C" w:rsidRPr="002E2CC9" w:rsidRDefault="00EA5B9C" w:rsidP="00EA5B9C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2E2CC9">
        <w:rPr>
          <w:rStyle w:val="a9"/>
          <w:rFonts w:hint="cs"/>
          <w:rtl/>
        </w:rPr>
        <w:t>ה</w:t>
      </w:r>
    </w:p>
    <w:p w:rsidR="00EA5B9C" w:rsidRDefault="00EA5B9C" w:rsidP="00EA5B9C">
      <w:pPr>
        <w:rPr>
          <w:rFonts w:hint="cs"/>
          <w:rtl/>
        </w:rPr>
      </w:pPr>
      <w:r>
        <w:rPr>
          <w:rFonts w:hint="cs"/>
          <w:rtl/>
        </w:rPr>
        <w:t xml:space="preserve">מעבר מעבודת ההתכוננות </w:t>
      </w:r>
      <w:proofErr w:type="spellStart"/>
      <w:r>
        <w:rPr>
          <w:rFonts w:hint="cs"/>
          <w:rtl/>
        </w:rPr>
        <w:t>וההטהרות</w:t>
      </w:r>
      <w:proofErr w:type="spellEnd"/>
      <w:r>
        <w:rPr>
          <w:rFonts w:hint="cs"/>
          <w:rtl/>
        </w:rPr>
        <w:t xml:space="preserve"> לשמחת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לאחר הטבילה</w:t>
      </w:r>
      <w:r w:rsidRPr="008636EE">
        <w:rPr>
          <w:rStyle w:val="a3"/>
          <w:rtl/>
        </w:rPr>
        <w:endnoteReference w:id="1"/>
      </w:r>
      <w:r>
        <w:rPr>
          <w:rFonts w:hint="cs"/>
          <w:rtl/>
        </w:rPr>
        <w:t xml:space="preserve"> מתבטא בלוח השנה היהודי בעבודת יום הכפורים ובחג הסוכות המגיע לאחריה: </w:t>
      </w:r>
    </w:p>
    <w:p w:rsidR="00EA5B9C" w:rsidRDefault="00EA5B9C" w:rsidP="00EA5B9C">
      <w:pPr>
        <w:rPr>
          <w:rFonts w:hint="cs"/>
          <w:rtl/>
        </w:rPr>
      </w:pPr>
      <w:r>
        <w:rPr>
          <w:rFonts w:hint="cs"/>
          <w:rtl/>
        </w:rPr>
        <w:t>ביום הכפורים מתקיים בכל ישראל "לפני הוי' תטהרו"</w:t>
      </w:r>
      <w:r w:rsidRPr="008636EE">
        <w:rPr>
          <w:rStyle w:val="a3"/>
          <w:rtl/>
        </w:rPr>
        <w:endnoteReference w:id="2"/>
      </w:r>
      <w:r>
        <w:rPr>
          <w:rFonts w:hint="cs"/>
          <w:rtl/>
        </w:rPr>
        <w:t>, כאשר כולם טובלים ב"מקוה ישראל הוי'"</w:t>
      </w:r>
      <w:r w:rsidRPr="008636EE">
        <w:rPr>
          <w:rStyle w:val="a3"/>
          <w:rtl/>
        </w:rPr>
        <w:endnoteReference w:id="3"/>
      </w:r>
      <w:r>
        <w:rPr>
          <w:rFonts w:hint="cs"/>
          <w:rtl/>
        </w:rPr>
        <w:t>. עם כל מה שיום הכפורים עצמו אסור בתשמיש המטה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>, הזיקה בינו לבין קשר הנישואין בולטת בכך שהוא אחד משני הימים הטובים בהם משדכים שידוכים בעם ישראל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>. כיוצא בכך, עבודת ההכנה והטבילה עצמה נעשות עדיין כאשר בני הזוג אסורים זה על זה, אך תכליתה היא להגיע לחבור בקדושה ובטהרה ואל כך מתגעגעת</w:t>
      </w:r>
      <w:r w:rsidRPr="008636EE">
        <w:rPr>
          <w:rStyle w:val="a3"/>
          <w:rtl/>
        </w:rPr>
        <w:endnoteReference w:id="6"/>
      </w:r>
      <w:r>
        <w:rPr>
          <w:rFonts w:hint="cs"/>
          <w:rtl/>
        </w:rPr>
        <w:t xml:space="preserve"> ומתכוונת הנפש בתוך התהליך כולו. </w:t>
      </w:r>
    </w:p>
    <w:p w:rsidR="00EA5B9C" w:rsidRDefault="00EA5B9C" w:rsidP="00EA5B9C">
      <w:pPr>
        <w:rPr>
          <w:rFonts w:hint="cs"/>
          <w:rtl/>
        </w:rPr>
      </w:pPr>
      <w:r>
        <w:rPr>
          <w:rFonts w:hint="cs"/>
          <w:rtl/>
        </w:rPr>
        <w:t>בעקבות טהרת הלב מכל נדנוד עברה ניתן להתקדם לחג הסוכות, "זמן שמחתנו"</w:t>
      </w:r>
      <w:r w:rsidRPr="008636EE">
        <w:rPr>
          <w:rStyle w:val="a3"/>
          <w:rtl/>
        </w:rPr>
        <w:endnoteReference w:id="7"/>
      </w:r>
      <w:r>
        <w:rPr>
          <w:rFonts w:hint="cs"/>
          <w:rtl/>
        </w:rPr>
        <w:t>, בו מתגלה אחדות ישראל בארבעת המינים</w:t>
      </w:r>
      <w:r w:rsidRPr="008636EE">
        <w:rPr>
          <w:rStyle w:val="a3"/>
          <w:rtl/>
        </w:rPr>
        <w:endnoteReference w:id="8"/>
      </w:r>
      <w:r>
        <w:rPr>
          <w:rFonts w:hint="cs"/>
          <w:rtl/>
        </w:rPr>
        <w:t xml:space="preserve"> ובכך </w:t>
      </w:r>
      <w:proofErr w:type="spellStart"/>
      <w:r>
        <w:rPr>
          <w:rFonts w:hint="cs"/>
          <w:rtl/>
        </w:rPr>
        <w:t>ש"ראויין</w:t>
      </w:r>
      <w:proofErr w:type="spellEnd"/>
      <w:r>
        <w:rPr>
          <w:rFonts w:hint="cs"/>
          <w:rtl/>
        </w:rPr>
        <w:t xml:space="preserve"> כל ישראל </w:t>
      </w:r>
      <w:proofErr w:type="spellStart"/>
      <w:r>
        <w:rPr>
          <w:rFonts w:hint="cs"/>
          <w:rtl/>
        </w:rPr>
        <w:t>לישב</w:t>
      </w:r>
      <w:proofErr w:type="spellEnd"/>
      <w:r>
        <w:rPr>
          <w:rFonts w:hint="cs"/>
          <w:rtl/>
        </w:rPr>
        <w:t xml:space="preserve"> בסוכה אחת"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>. יחוד ארבעת המינים בסוכה מזכיר את החתונה תחת החופה</w:t>
      </w:r>
      <w:r w:rsidRPr="008636EE">
        <w:rPr>
          <w:rStyle w:val="a3"/>
          <w:rtl/>
        </w:rPr>
        <w:endnoteReference w:id="10"/>
      </w:r>
      <w:r>
        <w:rPr>
          <w:rFonts w:hint="cs"/>
          <w:rtl/>
        </w:rPr>
        <w:t>, המתחדשת בליל הטבילה, ולאחר ההתחדשות והטהרה מגיע זמן ה"שמחה בדבר מצוה"</w:t>
      </w:r>
      <w:r w:rsidRPr="008636EE">
        <w:rPr>
          <w:rStyle w:val="a3"/>
          <w:rtl/>
        </w:rPr>
        <w:endnoteReference w:id="11"/>
      </w:r>
      <w:r>
        <w:rPr>
          <w:rFonts w:hint="cs"/>
          <w:rtl/>
        </w:rPr>
        <w:t xml:space="preserve"> בחגם המשותף של בני הזוג</w:t>
      </w:r>
      <w:r w:rsidRPr="008636EE">
        <w:rPr>
          <w:rStyle w:val="a3"/>
          <w:rtl/>
        </w:rPr>
        <w:endnoteReference w:id="12"/>
      </w:r>
      <w:r>
        <w:rPr>
          <w:rFonts w:hint="cs"/>
          <w:rtl/>
        </w:rPr>
        <w:t>.</w:t>
      </w:r>
    </w:p>
    <w:p w:rsidR="00EA5B9C" w:rsidRDefault="00EA5B9C" w:rsidP="00EA5B9C">
      <w:pPr>
        <w:rPr>
          <w:rFonts w:hint="cs"/>
          <w:rtl/>
        </w:rPr>
      </w:pPr>
      <w:r>
        <w:rPr>
          <w:rFonts w:hint="cs"/>
          <w:rtl/>
        </w:rPr>
        <w:t xml:space="preserve">אם כן, תוך כדי עבודת הטהרה וההכנה לטבילה מזדהה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עם הכהן הגדול הבודק עצמו מחוצצי טבילה</w:t>
      </w:r>
      <w:r w:rsidRPr="008636EE">
        <w:rPr>
          <w:rStyle w:val="a3"/>
          <w:rtl/>
        </w:rPr>
        <w:endnoteReference w:id="13"/>
      </w:r>
      <w:r>
        <w:rPr>
          <w:rFonts w:hint="cs"/>
          <w:rtl/>
        </w:rPr>
        <w:t xml:space="preserve"> ונטהר, תוך שימת דגש רב על עבודת הלב ביום הכפורים. כשם שהכהן הגדול פועל עבור כל ישראל, ובטהרתו ועבודתו מכפר ומטהר את כולם, כך עיקר עבודת הטהרה וההכנה מוטלת על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(והרי עבודת יום הכפורים של הכהן הגדול תלויה מאד ב"ביתו זו אשתו"</w:t>
      </w:r>
      <w:r w:rsidRPr="008636EE">
        <w:rPr>
          <w:rStyle w:val="a3"/>
          <w:rtl/>
        </w:rPr>
        <w:endnoteReference w:id="14"/>
      </w:r>
      <w:r>
        <w:rPr>
          <w:rFonts w:hint="cs"/>
          <w:rtl/>
        </w:rPr>
        <w:t>, והכהן עצמו הוא בבחינת 'בעלת הבית' במ</w:t>
      </w:r>
      <w:r w:rsidRPr="009813BB">
        <w:rPr>
          <w:rFonts w:hint="cs"/>
          <w:rtl/>
        </w:rPr>
        <w:t xml:space="preserve">קדש). יתר על כן, מבואר כי "הנשים המה </w:t>
      </w:r>
      <w:proofErr w:type="spellStart"/>
      <w:r w:rsidRPr="009813BB">
        <w:rPr>
          <w:rFonts w:hint="cs"/>
          <w:rtl/>
        </w:rPr>
        <w:t>כמקוה</w:t>
      </w:r>
      <w:proofErr w:type="spellEnd"/>
      <w:r w:rsidRPr="009813BB">
        <w:rPr>
          <w:rFonts w:hint="cs"/>
          <w:rtl/>
        </w:rPr>
        <w:t xml:space="preserve"> טהרה לישראל, שמביא לידי קדושה"</w:t>
      </w:r>
      <w:r w:rsidRPr="008636EE">
        <w:rPr>
          <w:rStyle w:val="a3"/>
          <w:rtl/>
        </w:rPr>
        <w:endnoteReference w:id="15"/>
      </w:r>
      <w:r w:rsidRPr="009813BB">
        <w:rPr>
          <w:rFonts w:hint="cs"/>
          <w:rtl/>
        </w:rPr>
        <w:t xml:space="preserve"> </w:t>
      </w:r>
      <w:r w:rsidRPr="009813BB">
        <w:rPr>
          <w:rtl/>
        </w:rPr>
        <w:t>–</w:t>
      </w:r>
      <w:r w:rsidRPr="009813BB">
        <w:rPr>
          <w:rFonts w:hint="cs"/>
          <w:rtl/>
        </w:rPr>
        <w:t xml:space="preserve"> </w:t>
      </w:r>
      <w:proofErr w:type="spellStart"/>
      <w:r w:rsidRPr="009813BB">
        <w:rPr>
          <w:rFonts w:hint="cs"/>
          <w:rtl/>
        </w:rPr>
        <w:t>האשה</w:t>
      </w:r>
      <w:proofErr w:type="spellEnd"/>
      <w:r w:rsidRPr="009813BB">
        <w:rPr>
          <w:rFonts w:hint="cs"/>
          <w:rtl/>
        </w:rPr>
        <w:t xml:space="preserve"> כה מזדהה עם עבודת הטהרה המסורה לה, עד שהיא עצמה נחשבת </w:t>
      </w:r>
      <w:proofErr w:type="spellStart"/>
      <w:r w:rsidRPr="009813BB">
        <w:rPr>
          <w:rFonts w:hint="cs"/>
          <w:rtl/>
        </w:rPr>
        <w:t>למקוה</w:t>
      </w:r>
      <w:proofErr w:type="spellEnd"/>
      <w:r w:rsidRPr="009813BB">
        <w:rPr>
          <w:rFonts w:hint="cs"/>
          <w:rtl/>
        </w:rPr>
        <w:t xml:space="preserve"> (בו 'טובל' בעלה). עם זאת, על האיש ללוות את אשתו בעבודתה </w:t>
      </w:r>
      <w:r w:rsidRPr="009813BB">
        <w:rPr>
          <w:rFonts w:hint="cs"/>
          <w:rtl/>
        </w:rPr>
        <w:lastRenderedPageBreak/>
        <w:t>הפנימית</w:t>
      </w:r>
      <w:r w:rsidRPr="008636EE">
        <w:rPr>
          <w:rStyle w:val="a3"/>
          <w:rtl/>
        </w:rPr>
        <w:endnoteReference w:id="16"/>
      </w:r>
      <w:r>
        <w:rPr>
          <w:rFonts w:hint="cs"/>
          <w:rtl/>
        </w:rPr>
        <w:t xml:space="preserve">, וכמובן ראוי שגם הוא יטבול </w:t>
      </w:r>
      <w:proofErr w:type="spellStart"/>
      <w:r>
        <w:rPr>
          <w:rFonts w:hint="cs"/>
          <w:rtl/>
        </w:rPr>
        <w:t>במקוה</w:t>
      </w:r>
      <w:proofErr w:type="spellEnd"/>
      <w:r>
        <w:rPr>
          <w:rFonts w:hint="cs"/>
          <w:rtl/>
        </w:rPr>
        <w:t xml:space="preserve"> טהרה ביום הטבילה</w:t>
      </w:r>
      <w:bookmarkStart w:id="2" w:name="_Ref301918602"/>
      <w:r w:rsidRPr="008636EE">
        <w:rPr>
          <w:rStyle w:val="a3"/>
          <w:rtl/>
        </w:rPr>
        <w:endnoteReference w:id="17"/>
      </w:r>
      <w:bookmarkEnd w:id="2"/>
      <w:r>
        <w:rPr>
          <w:rFonts w:hint="cs"/>
          <w:rtl/>
        </w:rPr>
        <w:t xml:space="preserve"> ויכין את עצמו </w:t>
      </w:r>
      <w:proofErr w:type="spellStart"/>
      <w:r>
        <w:rPr>
          <w:rFonts w:hint="cs"/>
          <w:rtl/>
        </w:rPr>
        <w:t>ליחוד</w:t>
      </w:r>
      <w:proofErr w:type="spellEnd"/>
      <w:r>
        <w:rPr>
          <w:rFonts w:hint="cs"/>
          <w:rtl/>
        </w:rPr>
        <w:t xml:space="preserve"> הקדוש. </w:t>
      </w:r>
    </w:p>
    <w:p w:rsidR="00EA5B9C" w:rsidRDefault="00EA5B9C" w:rsidP="00EA5B9C">
      <w:pPr>
        <w:rPr>
          <w:rFonts w:hint="cs"/>
          <w:rtl/>
        </w:rPr>
      </w:pPr>
      <w:r>
        <w:rPr>
          <w:rFonts w:hint="cs"/>
          <w:rtl/>
        </w:rPr>
        <w:t xml:space="preserve">בפרטות יותר, ביום הכפורים טובל הכהן הגדול </w:t>
      </w:r>
      <w:r w:rsidRPr="00522020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טבילות ומקדש את ידיו ורגליו </w:t>
      </w:r>
      <w:r w:rsidRPr="00522020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 xml:space="preserve"> פעמים</w:t>
      </w:r>
      <w:r w:rsidRPr="008636EE">
        <w:rPr>
          <w:rStyle w:val="a3"/>
          <w:rtl/>
        </w:rPr>
        <w:endnoteReference w:id="18"/>
      </w:r>
      <w:r>
        <w:rPr>
          <w:rFonts w:hint="cs"/>
          <w:rtl/>
        </w:rPr>
        <w:t>, ויש לדרוש שהם כנגד ה-</w:t>
      </w:r>
      <w:r w:rsidRPr="00A933DD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שב</w:t>
      </w:r>
      <w:r w:rsidRPr="00A933DD">
        <w:rPr>
          <w:rFonts w:hint="cs"/>
          <w:b/>
          <w:bCs/>
          <w:sz w:val="28"/>
          <w:szCs w:val="28"/>
          <w:rtl/>
        </w:rPr>
        <w:t>אשה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>-</w:t>
      </w:r>
      <w:r w:rsidRPr="00A933DD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 xml:space="preserve"> שב</w:t>
      </w:r>
      <w:r w:rsidRPr="00A933DD">
        <w:rPr>
          <w:rFonts w:hint="cs"/>
          <w:b/>
          <w:bCs/>
          <w:sz w:val="28"/>
          <w:szCs w:val="28"/>
          <w:rtl/>
        </w:rPr>
        <w:t>איש</w:t>
      </w:r>
      <w:r>
        <w:rPr>
          <w:rFonts w:hint="cs"/>
          <w:rtl/>
        </w:rPr>
        <w:t xml:space="preserve">, שבעבודתם המשותפת מקדשים את </w:t>
      </w:r>
      <w:r w:rsidRPr="00A933DD">
        <w:rPr>
          <w:rFonts w:hint="cs"/>
          <w:b/>
          <w:bCs/>
          <w:sz w:val="28"/>
          <w:szCs w:val="28"/>
          <w:rtl/>
        </w:rPr>
        <w:t>אש</w:t>
      </w:r>
      <w:r>
        <w:rPr>
          <w:rFonts w:hint="cs"/>
          <w:rtl/>
        </w:rPr>
        <w:t xml:space="preserve"> אהבתם</w:t>
      </w:r>
      <w:r w:rsidRPr="008636EE">
        <w:rPr>
          <w:rStyle w:val="a3"/>
          <w:rtl/>
        </w:rPr>
        <w:endnoteReference w:id="19"/>
      </w:r>
      <w:r>
        <w:rPr>
          <w:rFonts w:hint="cs"/>
          <w:rtl/>
        </w:rPr>
        <w:t xml:space="preserve"> בגילוי שם </w:t>
      </w:r>
      <w:r w:rsidRPr="00A933DD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>, "שכינה ביניהם"</w:t>
      </w:r>
      <w:r w:rsidRPr="008636EE">
        <w:rPr>
          <w:rStyle w:val="a3"/>
          <w:rtl/>
        </w:rPr>
        <w:endnoteReference w:id="20"/>
      </w:r>
      <w:r>
        <w:rPr>
          <w:rFonts w:hint="cs"/>
          <w:rtl/>
        </w:rPr>
        <w:t xml:space="preserve">. לפי זה, עבודת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בפרט היא הטבילה והעיון הקודם לה (שהרי "בדק עצמו מחוצצי טבילה" אמור דווקא ביחס לטבילה</w:t>
      </w:r>
      <w:r w:rsidRPr="008636EE">
        <w:rPr>
          <w:rStyle w:val="a3"/>
          <w:rtl/>
        </w:rPr>
        <w:endnoteReference w:id="21"/>
      </w:r>
      <w:r>
        <w:rPr>
          <w:rFonts w:hint="cs"/>
          <w:rtl/>
        </w:rPr>
        <w:t>), כאשר ה</w:t>
      </w:r>
      <w:r w:rsidRPr="007F3A3F">
        <w:rPr>
          <w:rFonts w:hint="cs"/>
          <w:b/>
          <w:bCs/>
          <w:sz w:val="28"/>
          <w:szCs w:val="28"/>
          <w:rtl/>
        </w:rPr>
        <w:t>טב</w:t>
      </w:r>
      <w:r>
        <w:rPr>
          <w:rFonts w:hint="cs"/>
          <w:rtl/>
        </w:rPr>
        <w:t>י</w:t>
      </w:r>
      <w:r w:rsidRPr="007F3A3F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>ה מתקנת את הלב (בסוד "</w:t>
      </w:r>
      <w:r w:rsidRPr="007F3A3F">
        <w:rPr>
          <w:rFonts w:hint="cs"/>
          <w:b/>
          <w:bCs/>
          <w:sz w:val="28"/>
          <w:szCs w:val="28"/>
          <w:rtl/>
        </w:rPr>
        <w:t>לב</w:t>
      </w:r>
      <w:r>
        <w:rPr>
          <w:rFonts w:hint="cs"/>
          <w:rtl/>
        </w:rPr>
        <w:t xml:space="preserve"> </w:t>
      </w:r>
      <w:r w:rsidRPr="007F3A3F">
        <w:rPr>
          <w:rFonts w:hint="cs"/>
          <w:b/>
          <w:bCs/>
          <w:sz w:val="28"/>
          <w:szCs w:val="28"/>
          <w:rtl/>
        </w:rPr>
        <w:t>ט</w:t>
      </w:r>
      <w:r>
        <w:rPr>
          <w:rFonts w:hint="cs"/>
          <w:rtl/>
        </w:rPr>
        <w:t xml:space="preserve">הור </w:t>
      </w:r>
      <w:r w:rsidRPr="007F3A3F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rtl/>
        </w:rPr>
        <w:t xml:space="preserve">רא לי </w:t>
      </w:r>
      <w:proofErr w:type="spellStart"/>
      <w:r>
        <w:rPr>
          <w:rFonts w:hint="cs"/>
          <w:rtl/>
        </w:rPr>
        <w:t>אלהים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22"/>
      </w:r>
      <w:r>
        <w:rPr>
          <w:rFonts w:hint="cs"/>
          <w:rtl/>
        </w:rPr>
        <w:t>) וה</w:t>
      </w:r>
      <w:r w:rsidRPr="00D91656">
        <w:rPr>
          <w:rStyle w:val="a4"/>
          <w:rFonts w:hint="cs"/>
          <w:rtl/>
        </w:rPr>
        <w:t>עיון</w:t>
      </w:r>
      <w:r>
        <w:rPr>
          <w:rFonts w:hint="cs"/>
          <w:rtl/>
        </w:rPr>
        <w:t xml:space="preserve"> הדקדקני את </w:t>
      </w:r>
      <w:proofErr w:type="spellStart"/>
      <w:r>
        <w:rPr>
          <w:rFonts w:hint="cs"/>
          <w:rtl/>
        </w:rPr>
        <w:t>ה</w:t>
      </w:r>
      <w:r w:rsidRPr="00D91656">
        <w:rPr>
          <w:rStyle w:val="a4"/>
          <w:rFonts w:hint="cs"/>
          <w:rtl/>
        </w:rPr>
        <w:t>עינים</w:t>
      </w:r>
      <w:proofErr w:type="spellEnd"/>
      <w:r>
        <w:rPr>
          <w:rFonts w:hint="cs"/>
          <w:rtl/>
        </w:rPr>
        <w:t xml:space="preserve">, ועבודת האיש בפרט היא קידוש </w:t>
      </w:r>
      <w:proofErr w:type="spellStart"/>
      <w:r>
        <w:rPr>
          <w:rFonts w:hint="cs"/>
          <w:rtl/>
        </w:rPr>
        <w:t>הידים</w:t>
      </w:r>
      <w:proofErr w:type="spellEnd"/>
      <w:r>
        <w:rPr>
          <w:rFonts w:hint="cs"/>
          <w:rtl/>
        </w:rPr>
        <w:t xml:space="preserve"> והרגלים המלווה כל פשיטה וכל לבישה של הבגדים. </w:t>
      </w:r>
    </w:p>
    <w:p w:rsidR="005F4A47" w:rsidRDefault="00EA5B9C" w:rsidP="00EA5B9C">
      <w:r>
        <w:rPr>
          <w:rFonts w:hint="cs"/>
          <w:rtl/>
        </w:rPr>
        <w:t xml:space="preserve">ביחוד בין איש ואשתו </w:t>
      </w:r>
      <w:proofErr w:type="spellStart"/>
      <w:r>
        <w:rPr>
          <w:rFonts w:hint="cs"/>
          <w:rtl/>
        </w:rPr>
        <w:t>העינים</w:t>
      </w:r>
      <w:proofErr w:type="spellEnd"/>
      <w:r>
        <w:rPr>
          <w:rFonts w:hint="cs"/>
          <w:rtl/>
        </w:rPr>
        <w:t xml:space="preserve"> והלב מבטאים את האהבה הפנימית (בסוד "עיניו למטה ולבו למעלה"</w:t>
      </w:r>
      <w:bookmarkStart w:id="3" w:name="_Ref300520952"/>
      <w:r w:rsidRPr="008636EE">
        <w:rPr>
          <w:rStyle w:val="a3"/>
          <w:rtl/>
        </w:rPr>
        <w:endnoteReference w:id="23"/>
      </w:r>
      <w:bookmarkEnd w:id="3"/>
      <w:r>
        <w:rPr>
          <w:rFonts w:hint="cs"/>
          <w:rtl/>
        </w:rPr>
        <w:t xml:space="preserve">) ואילו </w:t>
      </w:r>
      <w:proofErr w:type="spellStart"/>
      <w:r>
        <w:rPr>
          <w:rFonts w:hint="cs"/>
          <w:rtl/>
        </w:rPr>
        <w:t>הידים</w:t>
      </w:r>
      <w:proofErr w:type="spellEnd"/>
      <w:r>
        <w:rPr>
          <w:rFonts w:hint="cs"/>
          <w:rtl/>
        </w:rPr>
        <w:t xml:space="preserve"> והרגלים הם כלי המעשה החיצוני של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, שצריך </w:t>
      </w:r>
      <w:proofErr w:type="spellStart"/>
      <w:r>
        <w:rPr>
          <w:rFonts w:hint="cs"/>
          <w:rtl/>
        </w:rPr>
        <w:t>להעשות</w:t>
      </w:r>
      <w:proofErr w:type="spellEnd"/>
      <w:r>
        <w:rPr>
          <w:rFonts w:hint="cs"/>
          <w:rtl/>
        </w:rPr>
        <w:t xml:space="preserve"> מתוך רגישות לבן הזוג, מגע עדין ו'יד על הדופק' (בסוד "ידיו כפותות על לבו"</w:t>
      </w:r>
      <w:r w:rsidRPr="009D385B">
        <w:rPr>
          <w:rStyle w:val="a7"/>
          <w:rtl/>
        </w:rPr>
        <w:fldChar w:fldCharType="begin"/>
      </w:r>
      <w:r w:rsidRPr="009D385B">
        <w:rPr>
          <w:rStyle w:val="a7"/>
          <w:rtl/>
        </w:rPr>
        <w:instrText xml:space="preserve"> </w:instrText>
      </w:r>
      <w:r w:rsidRPr="009D385B">
        <w:rPr>
          <w:rStyle w:val="a7"/>
          <w:rFonts w:hint="cs"/>
        </w:rPr>
        <w:instrText>NOTEREF</w:instrText>
      </w:r>
      <w:r w:rsidRPr="009D385B">
        <w:rPr>
          <w:rStyle w:val="a7"/>
          <w:rFonts w:hint="cs"/>
          <w:rtl/>
        </w:rPr>
        <w:instrText xml:space="preserve"> _</w:instrText>
      </w:r>
      <w:r w:rsidRPr="009D385B">
        <w:rPr>
          <w:rStyle w:val="a7"/>
          <w:rFonts w:hint="cs"/>
        </w:rPr>
        <w:instrText>Ref300520952 \h</w:instrText>
      </w:r>
      <w:r w:rsidRPr="009D385B">
        <w:rPr>
          <w:rStyle w:val="a7"/>
          <w:rtl/>
        </w:rPr>
        <w:instrText xml:space="preserve"> </w:instrText>
      </w:r>
      <w:r w:rsidRPr="009D385B">
        <w:rPr>
          <w:rStyle w:val="a7"/>
        </w:rPr>
      </w:r>
      <w:r>
        <w:rPr>
          <w:rStyle w:val="a7"/>
        </w:rPr>
        <w:instrText xml:space="preserve"> \* MERGEFORMAT </w:instrText>
      </w:r>
      <w:r>
        <w:rPr>
          <w:rStyle w:val="a7"/>
          <w:rtl/>
        </w:rPr>
        <w:fldChar w:fldCharType="separate"/>
      </w:r>
      <w:r>
        <w:rPr>
          <w:rStyle w:val="a7"/>
          <w:rtl/>
        </w:rPr>
        <w:t>כג</w:t>
      </w:r>
      <w:r w:rsidRPr="009D385B">
        <w:rPr>
          <w:rStyle w:val="a7"/>
          <w:rtl/>
        </w:rPr>
        <w:fldChar w:fldCharType="end"/>
      </w:r>
      <w:r>
        <w:rPr>
          <w:rFonts w:hint="cs"/>
          <w:rtl/>
        </w:rPr>
        <w:t>) ומתוך הרגלים צנועים וישרים (בסוד "יישר רגליו"</w:t>
      </w:r>
      <w:r w:rsidRPr="009D385B">
        <w:rPr>
          <w:rStyle w:val="a7"/>
          <w:rtl/>
        </w:rPr>
        <w:fldChar w:fldCharType="begin"/>
      </w:r>
      <w:r w:rsidRPr="009D385B">
        <w:rPr>
          <w:rStyle w:val="a7"/>
          <w:rtl/>
        </w:rPr>
        <w:instrText xml:space="preserve"> </w:instrText>
      </w:r>
      <w:r w:rsidRPr="009D385B">
        <w:rPr>
          <w:rStyle w:val="a7"/>
          <w:rFonts w:hint="cs"/>
        </w:rPr>
        <w:instrText>NOTEREF</w:instrText>
      </w:r>
      <w:r w:rsidRPr="009D385B">
        <w:rPr>
          <w:rStyle w:val="a7"/>
          <w:rFonts w:hint="cs"/>
          <w:rtl/>
        </w:rPr>
        <w:instrText xml:space="preserve"> _</w:instrText>
      </w:r>
      <w:r w:rsidRPr="009D385B">
        <w:rPr>
          <w:rStyle w:val="a7"/>
          <w:rFonts w:hint="cs"/>
        </w:rPr>
        <w:instrText>Ref300520952 \h</w:instrText>
      </w:r>
      <w:r w:rsidRPr="009D385B">
        <w:rPr>
          <w:rStyle w:val="a7"/>
          <w:rtl/>
        </w:rPr>
        <w:instrText xml:space="preserve"> </w:instrText>
      </w:r>
      <w:r w:rsidRPr="009D385B">
        <w:rPr>
          <w:rStyle w:val="a7"/>
        </w:rPr>
      </w:r>
      <w:r>
        <w:rPr>
          <w:rStyle w:val="a7"/>
        </w:rPr>
        <w:instrText xml:space="preserve"> \* MERGEFORMAT </w:instrText>
      </w:r>
      <w:r>
        <w:rPr>
          <w:rStyle w:val="a7"/>
          <w:rtl/>
        </w:rPr>
        <w:fldChar w:fldCharType="separate"/>
      </w:r>
      <w:r>
        <w:rPr>
          <w:rStyle w:val="a7"/>
          <w:rtl/>
        </w:rPr>
        <w:t>כג</w:t>
      </w:r>
      <w:r w:rsidRPr="009D385B">
        <w:rPr>
          <w:rStyle w:val="a7"/>
          <w:rtl/>
        </w:rPr>
        <w:fldChar w:fldCharType="end"/>
      </w:r>
      <w:r>
        <w:rPr>
          <w:rFonts w:hint="cs"/>
          <w:rtl/>
        </w:rPr>
        <w:t xml:space="preserve">). אם כן,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בעיון ובטבילה </w:t>
      </w:r>
      <w:r w:rsidRPr="00D91656">
        <w:rPr>
          <w:rStyle w:val="a4"/>
          <w:rFonts w:hint="cs"/>
          <w:rtl/>
        </w:rPr>
        <w:t>אחראית</w:t>
      </w:r>
      <w:r>
        <w:rPr>
          <w:rFonts w:hint="cs"/>
          <w:rtl/>
        </w:rPr>
        <w:t xml:space="preserve"> על הרובד הפנימי, טהרת כוונות ה</w:t>
      </w:r>
      <w:r w:rsidRPr="00D91656">
        <w:rPr>
          <w:rStyle w:val="a4"/>
          <w:rFonts w:hint="cs"/>
          <w:rtl/>
        </w:rPr>
        <w:t>לב</w:t>
      </w:r>
      <w:r>
        <w:rPr>
          <w:rFonts w:hint="cs"/>
          <w:rtl/>
        </w:rPr>
        <w:t xml:space="preserve"> ומבט </w:t>
      </w:r>
      <w:proofErr w:type="spellStart"/>
      <w:r>
        <w:rPr>
          <w:rFonts w:hint="cs"/>
          <w:rtl/>
        </w:rPr>
        <w:t>ה</w:t>
      </w:r>
      <w:r w:rsidRPr="00D91656">
        <w:rPr>
          <w:rStyle w:val="a4"/>
          <w:rFonts w:hint="cs"/>
          <w:rtl/>
        </w:rPr>
        <w:t>עינים</w:t>
      </w:r>
      <w:proofErr w:type="spellEnd"/>
      <w:r>
        <w:rPr>
          <w:rFonts w:hint="cs"/>
          <w:rtl/>
        </w:rPr>
        <w:t>, "ולא תת</w:t>
      </w:r>
      <w:r>
        <w:rPr>
          <w:rFonts w:hint="eastAsia"/>
          <w:rtl/>
        </w:rPr>
        <w:t>ֻ</w:t>
      </w:r>
      <w:r>
        <w:rPr>
          <w:rFonts w:hint="cs"/>
          <w:rtl/>
        </w:rPr>
        <w:t xml:space="preserve">רו </w:t>
      </w:r>
      <w:r w:rsidRPr="00D91656">
        <w:rPr>
          <w:rStyle w:val="a4"/>
          <w:rFonts w:hint="cs"/>
          <w:rtl/>
        </w:rPr>
        <w:t>אחרי</w:t>
      </w:r>
      <w:r>
        <w:rPr>
          <w:rFonts w:hint="cs"/>
          <w:rtl/>
        </w:rPr>
        <w:t xml:space="preserve"> </w:t>
      </w:r>
      <w:r w:rsidRPr="00D91656">
        <w:rPr>
          <w:rStyle w:val="a4"/>
          <w:rFonts w:hint="cs"/>
          <w:rtl/>
        </w:rPr>
        <w:t>לבבכם</w:t>
      </w:r>
      <w:r>
        <w:rPr>
          <w:rFonts w:hint="cs"/>
          <w:rtl/>
        </w:rPr>
        <w:t xml:space="preserve"> ו</w:t>
      </w:r>
      <w:r w:rsidRPr="00D91656">
        <w:rPr>
          <w:rStyle w:val="a4"/>
          <w:rFonts w:hint="cs"/>
          <w:rtl/>
        </w:rPr>
        <w:t>אחרי</w:t>
      </w:r>
      <w:r>
        <w:rPr>
          <w:rFonts w:hint="cs"/>
          <w:rtl/>
        </w:rPr>
        <w:t xml:space="preserve"> </w:t>
      </w:r>
      <w:r w:rsidRPr="00D91656">
        <w:rPr>
          <w:rStyle w:val="a4"/>
          <w:rFonts w:hint="cs"/>
          <w:rtl/>
        </w:rPr>
        <w:t>עיניכם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24"/>
      </w:r>
      <w:r>
        <w:rPr>
          <w:rFonts w:hint="cs"/>
          <w:rtl/>
        </w:rPr>
        <w:t>, ואילו האיש-ה</w:t>
      </w:r>
      <w:r w:rsidRPr="00D91656">
        <w:rPr>
          <w:rStyle w:val="a4"/>
          <w:rFonts w:hint="cs"/>
          <w:rtl/>
        </w:rPr>
        <w:t>זכר</w:t>
      </w:r>
      <w:r>
        <w:rPr>
          <w:rFonts w:hint="cs"/>
          <w:rtl/>
        </w:rPr>
        <w:t xml:space="preserve"> צריך </w:t>
      </w:r>
      <w:r w:rsidRPr="00D91656">
        <w:rPr>
          <w:rStyle w:val="a4"/>
          <w:rFonts w:hint="cs"/>
          <w:rtl/>
        </w:rPr>
        <w:t>לקדש</w:t>
      </w:r>
      <w:r>
        <w:rPr>
          <w:rFonts w:hint="cs"/>
          <w:rtl/>
        </w:rPr>
        <w:t xml:space="preserve"> כדבעי את החלק </w:t>
      </w:r>
      <w:r w:rsidRPr="00D91656">
        <w:rPr>
          <w:rStyle w:val="a4"/>
          <w:rFonts w:hint="cs"/>
          <w:rtl/>
        </w:rPr>
        <w:t>המעשי</w:t>
      </w:r>
      <w:r>
        <w:rPr>
          <w:rFonts w:hint="cs"/>
          <w:rtl/>
        </w:rPr>
        <w:t xml:space="preserve"> של הזיווג (</w:t>
      </w:r>
      <w:r w:rsidRPr="00D91656">
        <w:rPr>
          <w:rStyle w:val="a4"/>
          <w:rFonts w:hint="cs"/>
          <w:rtl/>
        </w:rPr>
        <w:t>מצוה</w:t>
      </w:r>
      <w:r>
        <w:rPr>
          <w:rFonts w:hint="cs"/>
          <w:rtl/>
        </w:rPr>
        <w:t xml:space="preserve"> מלשון </w:t>
      </w:r>
      <w:r w:rsidRPr="00D91656">
        <w:rPr>
          <w:rStyle w:val="a4"/>
          <w:rFonts w:hint="cs"/>
          <w:rtl/>
        </w:rPr>
        <w:t>צוותא</w:t>
      </w:r>
      <w:r>
        <w:rPr>
          <w:rFonts w:hint="cs"/>
          <w:rtl/>
        </w:rPr>
        <w:t xml:space="preserve"> וחיבור</w:t>
      </w:r>
      <w:r w:rsidRPr="008636EE">
        <w:rPr>
          <w:rStyle w:val="a3"/>
          <w:rtl/>
        </w:rPr>
        <w:endnoteReference w:id="25"/>
      </w:r>
      <w:r>
        <w:rPr>
          <w:rFonts w:hint="cs"/>
          <w:rtl/>
        </w:rPr>
        <w:t xml:space="preserve">), "למען </w:t>
      </w:r>
      <w:r w:rsidRPr="00D91656">
        <w:rPr>
          <w:rStyle w:val="a4"/>
          <w:rFonts w:hint="cs"/>
          <w:rtl/>
        </w:rPr>
        <w:t>תזכרו</w:t>
      </w:r>
      <w:r>
        <w:rPr>
          <w:rFonts w:hint="cs"/>
          <w:rtl/>
        </w:rPr>
        <w:t xml:space="preserve"> </w:t>
      </w:r>
      <w:r w:rsidRPr="00D91656">
        <w:rPr>
          <w:rStyle w:val="a4"/>
          <w:rFonts w:hint="cs"/>
          <w:rtl/>
        </w:rPr>
        <w:t>ועשיתם</w:t>
      </w:r>
      <w:r>
        <w:rPr>
          <w:rFonts w:hint="cs"/>
          <w:rtl/>
        </w:rPr>
        <w:t xml:space="preserve"> את כל </w:t>
      </w:r>
      <w:proofErr w:type="spellStart"/>
      <w:r w:rsidRPr="00D91656">
        <w:rPr>
          <w:rStyle w:val="a4"/>
          <w:rFonts w:hint="cs"/>
          <w:rtl/>
        </w:rPr>
        <w:t>מצותי</w:t>
      </w:r>
      <w:proofErr w:type="spellEnd"/>
      <w:r>
        <w:rPr>
          <w:rFonts w:hint="cs"/>
          <w:rtl/>
        </w:rPr>
        <w:t xml:space="preserve"> והייתם </w:t>
      </w:r>
      <w:r w:rsidRPr="00D91656">
        <w:rPr>
          <w:rStyle w:val="a4"/>
          <w:rFonts w:hint="cs"/>
          <w:rtl/>
        </w:rPr>
        <w:t>קד</w:t>
      </w:r>
      <w:r w:rsidRPr="00D91656">
        <w:rPr>
          <w:rStyle w:val="a4"/>
          <w:rFonts w:hint="eastAsia"/>
          <w:rtl/>
        </w:rPr>
        <w:t>ֹ</w:t>
      </w:r>
      <w:r w:rsidRPr="00D91656">
        <w:rPr>
          <w:rStyle w:val="a4"/>
          <w:rFonts w:hint="cs"/>
          <w:rtl/>
        </w:rPr>
        <w:t>שים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26"/>
      </w:r>
      <w:r>
        <w:rPr>
          <w:rFonts w:hint="cs"/>
          <w:rtl/>
        </w:rPr>
        <w:t xml:space="preserve"> (בקדושת הזיווג בפועל, אחרי הכנת הטהרה). עבודת האיש בקידוש ידיו ורגליו, עידון מגעו והגברת רגישותו, </w:t>
      </w:r>
      <w:proofErr w:type="spellStart"/>
      <w:r>
        <w:rPr>
          <w:rFonts w:hint="cs"/>
          <w:rtl/>
        </w:rPr>
        <w:t>מלוה</w:t>
      </w:r>
      <w:proofErr w:type="spellEnd"/>
      <w:r>
        <w:rPr>
          <w:rFonts w:hint="cs"/>
          <w:rtl/>
        </w:rPr>
        <w:t xml:space="preserve"> את סוד פשיטת ולבישת הבגדים בעת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>, כאשר מוטל על האיש לפשוט מעצמו את מדיו-</w:t>
      </w:r>
      <w:proofErr w:type="spellStart"/>
      <w:r>
        <w:rPr>
          <w:rFonts w:hint="cs"/>
          <w:rtl/>
        </w:rPr>
        <w:t>מדותיו</w:t>
      </w:r>
      <w:proofErr w:type="spellEnd"/>
      <w:r>
        <w:rPr>
          <w:rFonts w:hint="cs"/>
          <w:rtl/>
        </w:rPr>
        <w:t xml:space="preserve"> וקצבו ולהתאים את עצמו למדיה-</w:t>
      </w:r>
      <w:proofErr w:type="spellStart"/>
      <w:r>
        <w:rPr>
          <w:rFonts w:hint="cs"/>
          <w:rtl/>
        </w:rPr>
        <w:t>מדותיה</w:t>
      </w:r>
      <w:proofErr w:type="spellEnd"/>
      <w:r>
        <w:rPr>
          <w:rFonts w:hint="cs"/>
          <w:rtl/>
        </w:rPr>
        <w:t xml:space="preserve"> וקצבה של אשתו</w:t>
      </w:r>
      <w:r w:rsidRPr="008636EE">
        <w:rPr>
          <w:rStyle w:val="a3"/>
          <w:rtl/>
        </w:rPr>
        <w:endnoteReference w:id="27"/>
      </w:r>
      <w:r>
        <w:rPr>
          <w:rFonts w:hint="cs"/>
          <w:rtl/>
        </w:rPr>
        <w:t xml:space="preserve"> (ואם לא כן, "הוא בבגדו והיא בבגדה </w:t>
      </w:r>
      <w:r>
        <w:rPr>
          <w:rtl/>
        </w:rPr>
        <w:t>–</w:t>
      </w:r>
      <w:r>
        <w:rPr>
          <w:rFonts w:hint="cs"/>
          <w:rtl/>
        </w:rPr>
        <w:t xml:space="preserve"> יוציא </w:t>
      </w:r>
      <w:proofErr w:type="spellStart"/>
      <w:r>
        <w:rPr>
          <w:rFonts w:hint="cs"/>
          <w:rtl/>
        </w:rPr>
        <w:t>ויתן</w:t>
      </w:r>
      <w:proofErr w:type="spellEnd"/>
      <w:r>
        <w:rPr>
          <w:rFonts w:hint="cs"/>
          <w:rtl/>
        </w:rPr>
        <w:t xml:space="preserve"> כתובה"</w:t>
      </w:r>
      <w:r w:rsidRPr="008636EE">
        <w:rPr>
          <w:rStyle w:val="a3"/>
          <w:rtl/>
        </w:rPr>
        <w:endnoteReference w:id="28"/>
      </w:r>
      <w:r>
        <w:rPr>
          <w:rFonts w:hint="cs"/>
          <w:rtl/>
        </w:rPr>
        <w:t xml:space="preserve">). בעבודתם המשותפת של בני הזוג הם מקדשים את אש האהבה וזוכים ל"עין רואה ולב חומד וכלי מעשה </w:t>
      </w:r>
      <w:proofErr w:type="spellStart"/>
      <w:r>
        <w:rPr>
          <w:rFonts w:hint="cs"/>
          <w:rtl/>
        </w:rPr>
        <w:t>גומרין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29"/>
      </w:r>
      <w:r>
        <w:rPr>
          <w:rFonts w:hint="cs"/>
          <w:rtl/>
        </w:rPr>
        <w:t xml:space="preserve"> בקדושה ובטהרה.</w:t>
      </w:r>
      <w:bookmarkStart w:id="4" w:name="_GoBack"/>
      <w:bookmarkEnd w:id="4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FFB" w:rsidRDefault="000C4FFB" w:rsidP="00EA5B9C">
      <w:pPr>
        <w:spacing w:after="0" w:line="240" w:lineRule="auto"/>
      </w:pPr>
      <w:r>
        <w:separator/>
      </w:r>
    </w:p>
  </w:endnote>
  <w:endnote w:type="continuationSeparator" w:id="0">
    <w:p w:rsidR="000C4FFB" w:rsidRDefault="000C4FFB" w:rsidP="00EA5B9C">
      <w:pPr>
        <w:spacing w:after="0" w:line="240" w:lineRule="auto"/>
      </w:pPr>
      <w:r>
        <w:continuationSeparator/>
      </w:r>
    </w:p>
  </w:endnote>
  <w:endnote w:id="1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בתורה הקודמת.</w:t>
      </w:r>
    </w:p>
  </w:endnote>
  <w:endnote w:id="2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ויקרא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, ל.</w:t>
      </w:r>
    </w:p>
  </w:endnote>
  <w:endnote w:id="3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ירמיה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. וראה יומא פ"ח מ"ט.</w:t>
      </w:r>
    </w:p>
  </w:endnote>
  <w:endnote w:id="4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יומא פ"ח מ"א.</w:t>
      </w:r>
    </w:p>
  </w:endnote>
  <w:endnote w:id="5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בסוף מסכת תענית, ובארוכה בספר מחול הכרמים. ראה גם בשער א בתורה "כתיבה וחתימה טובה".</w:t>
      </w:r>
    </w:p>
  </w:endnote>
  <w:endnote w:id="6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לעיל בתורה "ארץ יראה ושקטה".</w:t>
      </w:r>
    </w:p>
  </w:endnote>
  <w:endnote w:id="7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נוסח תפילת עמידה ליום טוב.</w:t>
      </w:r>
    </w:p>
  </w:endnote>
  <w:endnote w:id="8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ויקרא רבה ל,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. וראה באורך סידור עם </w:t>
      </w:r>
      <w:proofErr w:type="spellStart"/>
      <w:r>
        <w:rPr>
          <w:rFonts w:hint="cs"/>
          <w:rtl/>
        </w:rPr>
        <w:t>דא"ח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ארבעת המינים, 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שער מד ותום ודעת מאמר "ארבעת המינים". </w:t>
      </w:r>
    </w:p>
  </w:endnote>
  <w:endnote w:id="9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סוכה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, ב. ראה גם כלל גדול בתורה עמ' קלט.</w:t>
      </w:r>
    </w:p>
  </w:endnote>
  <w:endnote w:id="10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באורך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ד בתורה "ארבעת המינים בחתונה".</w:t>
      </w:r>
    </w:p>
  </w:endnote>
  <w:endnote w:id="11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בבא </w:t>
      </w:r>
      <w:proofErr w:type="spellStart"/>
      <w:r>
        <w:rPr>
          <w:rFonts w:hint="cs"/>
          <w:rtl/>
        </w:rPr>
        <w:t>בתרא</w:t>
      </w:r>
      <w:proofErr w:type="spellEnd"/>
      <w:r>
        <w:rPr>
          <w:rFonts w:hint="cs"/>
          <w:rtl/>
        </w:rPr>
        <w:t xml:space="preserve"> י, ב.</w:t>
      </w:r>
    </w:p>
  </w:endnote>
  <w:endnote w:id="12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ו בתורות "יחוד שבת בחול" ו"שמחת עונה" כי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בליל הטבילה הוא מעין יום טוב פרטי של בני הזוג (ועיקר ענינו הוא השמחה, יותר </w:t>
      </w:r>
      <w:proofErr w:type="spellStart"/>
      <w:r>
        <w:rPr>
          <w:rFonts w:hint="cs"/>
          <w:rtl/>
        </w:rPr>
        <w:t>מהיחוד</w:t>
      </w:r>
      <w:proofErr w:type="spellEnd"/>
      <w:r>
        <w:rPr>
          <w:rFonts w:hint="cs"/>
          <w:rtl/>
        </w:rPr>
        <w:t xml:space="preserve"> בליל שבת).</w:t>
      </w:r>
    </w:p>
  </w:endnote>
  <w:endnote w:id="13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סדר העבודה ליום הכיפורים.</w:t>
      </w:r>
    </w:p>
  </w:endnote>
  <w:endnote w:id="14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כמפורש בריש מסכת יומא.</w:t>
      </w:r>
    </w:p>
  </w:endnote>
  <w:endnote w:id="15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לשון </w:t>
      </w:r>
      <w:proofErr w:type="spellStart"/>
      <w:r>
        <w:rPr>
          <w:rFonts w:hint="cs"/>
          <w:rtl/>
        </w:rPr>
        <w:t>הנצי"ב</w:t>
      </w:r>
      <w:proofErr w:type="spellEnd"/>
      <w:r>
        <w:rPr>
          <w:rFonts w:hint="cs"/>
          <w:rtl/>
        </w:rPr>
        <w:t xml:space="preserve"> בפירוש העמק דבר במדבר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 xml:space="preserve">, ט (ונתבאר בארוכה </w:t>
      </w:r>
      <w:proofErr w:type="spellStart"/>
      <w:r>
        <w:rPr>
          <w:rFonts w:hint="cs"/>
          <w:rtl/>
        </w:rPr>
        <w:t>במ"א</w:t>
      </w:r>
      <w:proofErr w:type="spellEnd"/>
      <w:r>
        <w:rPr>
          <w:rFonts w:hint="cs"/>
          <w:rtl/>
        </w:rPr>
        <w:t>).</w:t>
      </w:r>
    </w:p>
  </w:endnote>
  <w:endnote w:id="16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ברית הנישואין </w:t>
      </w:r>
      <w:proofErr w:type="spellStart"/>
      <w:r>
        <w:rPr>
          <w:rFonts w:hint="cs"/>
          <w:rtl/>
        </w:rPr>
        <w:t>תחלת</w:t>
      </w:r>
      <w:proofErr w:type="spellEnd"/>
      <w:r>
        <w:rPr>
          <w:rFonts w:hint="cs"/>
          <w:rtl/>
        </w:rPr>
        <w:t xml:space="preserve"> מאמר "טהרת המשפחה".</w:t>
      </w:r>
    </w:p>
  </w:endnote>
  <w:endnote w:id="17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של"ה שער האותיות אות ט' טהרה (ג), וכן הובא בשמו בטהרת ישראל </w:t>
      </w:r>
      <w:proofErr w:type="spellStart"/>
      <w:r>
        <w:rPr>
          <w:rFonts w:hint="cs"/>
          <w:rtl/>
        </w:rPr>
        <w:t>רמ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ס"ק</w:t>
      </w:r>
      <w:proofErr w:type="spellEnd"/>
      <w:r>
        <w:rPr>
          <w:rFonts w:hint="cs"/>
          <w:rtl/>
        </w:rPr>
        <w:t xml:space="preserve"> כ. ראה גם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ו בתורה "יחוד שבת בחול".</w:t>
      </w:r>
    </w:p>
  </w:endnote>
  <w:endnote w:id="18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יומא פ"ג מ"ג.</w:t>
      </w:r>
    </w:p>
  </w:endnote>
  <w:endnote w:id="19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תקו"ז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, ראשית חכמה שער הקדושה פרקים </w:t>
      </w:r>
      <w:proofErr w:type="spellStart"/>
      <w:r>
        <w:rPr>
          <w:rFonts w:hint="cs"/>
          <w:rtl/>
        </w:rPr>
        <w:t>טז-יז</w:t>
      </w:r>
      <w:proofErr w:type="spellEnd"/>
      <w:r>
        <w:rPr>
          <w:rFonts w:hint="cs"/>
          <w:rtl/>
        </w:rPr>
        <w:t xml:space="preserve"> (אותם נוהגים ללמוד חתנים), וראה באורך שכינה ביניהם פ"א, יין משמח ח"א שער ז בתורה "אש מיין",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ה בתורה "הסנה בוער באש" וח"ד שער ו בתורה "אש תמיד" ולקמן בשער ז בתורה "הוי' נסי".</w:t>
      </w:r>
    </w:p>
  </w:endnote>
  <w:endnote w:id="20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 (ורש"י שם ד"ה "שכינה ביניהן").</w:t>
      </w:r>
    </w:p>
  </w:endnote>
  <w:endnote w:id="21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סדר העבודה ליום הכפורים.</w:t>
      </w:r>
    </w:p>
  </w:endnote>
  <w:endnote w:id="22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נא,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 וראה בכוונות פסוק זה בטבילה בתורה הקודמת.</w:t>
      </w:r>
    </w:p>
  </w:endnote>
  <w:endnote w:id="23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יבמות </w:t>
      </w:r>
      <w:proofErr w:type="spellStart"/>
      <w:r>
        <w:rPr>
          <w:rFonts w:hint="cs"/>
          <w:rtl/>
        </w:rPr>
        <w:t>קה</w:t>
      </w:r>
      <w:proofErr w:type="spellEnd"/>
      <w:r>
        <w:rPr>
          <w:rFonts w:hint="cs"/>
          <w:rtl/>
        </w:rPr>
        <w:t xml:space="preserve">, ב. וראה באורך יין משמח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שער ה. </w:t>
      </w:r>
    </w:p>
  </w:endnote>
  <w:endnote w:id="24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במדבר טו, לט.</w:t>
      </w:r>
    </w:p>
  </w:endnote>
  <w:endnote w:id="25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tl/>
        </w:rPr>
        <w:t>לקו"ת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בחוקותי</w:t>
      </w:r>
      <w:proofErr w:type="spellEnd"/>
      <w:r>
        <w:rPr>
          <w:rtl/>
        </w:rPr>
        <w:t xml:space="preserve"> מה, ג</w:t>
      </w:r>
      <w:r>
        <w:rPr>
          <w:rFonts w:hint="cs"/>
          <w:rtl/>
        </w:rPr>
        <w:t>;</w:t>
      </w:r>
      <w:r>
        <w:rPr>
          <w:rtl/>
        </w:rPr>
        <w:t xml:space="preserve"> </w:t>
      </w:r>
      <w:proofErr w:type="spellStart"/>
      <w:r>
        <w:rPr>
          <w:rtl/>
        </w:rPr>
        <w:t>מז</w:t>
      </w:r>
      <w:proofErr w:type="spellEnd"/>
      <w:r>
        <w:rPr>
          <w:rtl/>
        </w:rPr>
        <w:t>, ב</w:t>
      </w:r>
      <w:r>
        <w:rPr>
          <w:rFonts w:hint="cs"/>
          <w:rtl/>
        </w:rPr>
        <w:t xml:space="preserve"> </w:t>
      </w:r>
      <w:r w:rsidRPr="008E4CEC">
        <w:rPr>
          <w:rtl/>
        </w:rPr>
        <w:t>ובכ"</w:t>
      </w:r>
      <w:r>
        <w:rPr>
          <w:rFonts w:hint="cs"/>
          <w:rtl/>
        </w:rPr>
        <w:t>ד.</w:t>
      </w:r>
    </w:p>
  </w:endnote>
  <w:endnote w:id="26">
    <w:p w:rsidR="00EA5B9C" w:rsidRDefault="00EA5B9C" w:rsidP="00EA5B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במדבר טו, מ. וראה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תורה דרושים לשמיני עצרת צג, ב.</w:t>
      </w:r>
    </w:p>
  </w:endnote>
  <w:endnote w:id="27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שכינה ביניהם עמ' </w:t>
      </w:r>
      <w:proofErr w:type="spellStart"/>
      <w:r>
        <w:rPr>
          <w:rFonts w:hint="cs"/>
          <w:rtl/>
        </w:rPr>
        <w:t>קעו</w:t>
      </w:r>
      <w:proofErr w:type="spellEnd"/>
      <w:r>
        <w:rPr>
          <w:rFonts w:hint="cs"/>
          <w:rtl/>
        </w:rPr>
        <w:t xml:space="preserve"> הערה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,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ב בתורה "יחוד היין" ולקמן בשער ו בתורה "לשחות נגד הזרם".</w:t>
      </w:r>
    </w:p>
  </w:endnote>
  <w:endnote w:id="28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כתובות מח, א. (וראה שכינה ביניהם שם הערה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).</w:t>
      </w:r>
    </w:p>
  </w:endnote>
  <w:endnote w:id="29">
    <w:p w:rsidR="00EA5B9C" w:rsidRDefault="00EA5B9C" w:rsidP="00EA5B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במדבר טו, לט ברש"י עה"פ.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FFB" w:rsidRDefault="000C4FFB" w:rsidP="00EA5B9C">
      <w:pPr>
        <w:spacing w:after="0" w:line="240" w:lineRule="auto"/>
      </w:pPr>
      <w:r>
        <w:separator/>
      </w:r>
    </w:p>
  </w:footnote>
  <w:footnote w:type="continuationSeparator" w:id="0">
    <w:p w:rsidR="000C4FFB" w:rsidRDefault="000C4FFB" w:rsidP="00EA5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14F"/>
    <w:rsid w:val="00061E65"/>
    <w:rsid w:val="000C4FFB"/>
    <w:rsid w:val="00AC2310"/>
    <w:rsid w:val="00EA5B9C"/>
    <w:rsid w:val="00F1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A5B9C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A5B9C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A5B9C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EA5B9C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EA5B9C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EA5B9C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EA5B9C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EA5B9C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EA5B9C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EA5B9C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A5B9C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A5B9C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A5B9C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EA5B9C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EA5B9C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EA5B9C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EA5B9C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EA5B9C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EA5B9C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EA5B9C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2017-08-16T10:37:00Z</dcterms:created>
  <dcterms:modified xsi:type="dcterms:W3CDTF">2017-08-16T10:37:00Z</dcterms:modified>
</cp:coreProperties>
</file>