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79C" w:rsidRDefault="005F679C" w:rsidP="005F679C">
      <w:pPr>
        <w:pStyle w:val="2"/>
        <w:rPr>
          <w:rFonts w:hint="cs"/>
          <w:rtl/>
        </w:rPr>
      </w:pPr>
      <w:r>
        <w:rPr>
          <w:rFonts w:hint="cs"/>
          <w:rtl/>
        </w:rPr>
        <w:t>שעשוע המקוה</w:t>
      </w:r>
    </w:p>
    <w:p w:rsidR="005F679C" w:rsidRPr="002E2CC9" w:rsidRDefault="005F679C" w:rsidP="005F679C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2E2CC9">
        <w:rPr>
          <w:rStyle w:val="a9"/>
          <w:rFonts w:hint="cs"/>
          <w:rtl/>
        </w:rPr>
        <w:t>כ</w:t>
      </w:r>
    </w:p>
    <w:p w:rsidR="005F679C" w:rsidRDefault="005F679C" w:rsidP="005F679C">
      <w:pPr>
        <w:rPr>
          <w:rFonts w:hint="cs"/>
          <w:rtl/>
        </w:rPr>
      </w:pPr>
      <w:r>
        <w:rPr>
          <w:rFonts w:hint="cs"/>
          <w:rtl/>
        </w:rPr>
        <w:t>ל תהליך הטהרה הוא נשי במהותו, ועל כן בפועל הוא עבודתה המיוחדת של האשה</w:t>
      </w:r>
      <w:r w:rsidRPr="008636EE">
        <w:rPr>
          <w:rStyle w:val="a3"/>
          <w:rtl/>
        </w:rPr>
        <w:endnoteReference w:id="1"/>
      </w:r>
      <w:r>
        <w:rPr>
          <w:rFonts w:hint="cs"/>
          <w:rtl/>
        </w:rPr>
        <w:t>. כך, על פי סוד, עצם מושג הטהרה שייך לספירת הבינה</w:t>
      </w:r>
      <w:r w:rsidRPr="008636EE">
        <w:rPr>
          <w:rStyle w:val="a3"/>
          <w:rtl/>
        </w:rPr>
        <w:endnoteReference w:id="2"/>
      </w:r>
      <w:r>
        <w:rPr>
          <w:rFonts w:hint="cs"/>
          <w:rtl/>
        </w:rPr>
        <w:t xml:space="preserve"> (לעומת הקדושה השייכת לחכמה) וכן המקוה הוא בסוד "יסוד אמא"</w:t>
      </w:r>
      <w:r w:rsidRPr="008636EE">
        <w:rPr>
          <w:rStyle w:val="a3"/>
          <w:rtl/>
        </w:rPr>
        <w:endnoteReference w:id="3"/>
      </w:r>
      <w:r>
        <w:rPr>
          <w:rFonts w:hint="cs"/>
          <w:rtl/>
        </w:rPr>
        <w:t xml:space="preserve"> (כרמוז גם בכך ש</w:t>
      </w:r>
      <w:r w:rsidRPr="00A0315B">
        <w:rPr>
          <w:rFonts w:hint="cs"/>
          <w:b/>
          <w:bCs/>
          <w:sz w:val="28"/>
          <w:szCs w:val="28"/>
          <w:rtl/>
        </w:rPr>
        <w:t>מקוה</w:t>
      </w:r>
      <w:r>
        <w:rPr>
          <w:rFonts w:hint="cs"/>
          <w:rtl/>
        </w:rPr>
        <w:t xml:space="preserve"> עולה </w:t>
      </w:r>
      <w:r w:rsidRPr="00A0315B">
        <w:rPr>
          <w:rFonts w:hint="cs"/>
          <w:b/>
          <w:bCs/>
          <w:sz w:val="28"/>
          <w:szCs w:val="28"/>
          <w:rtl/>
        </w:rPr>
        <w:t>אהיה</w:t>
      </w:r>
      <w:r>
        <w:rPr>
          <w:rFonts w:hint="cs"/>
          <w:rtl/>
        </w:rPr>
        <w:t xml:space="preserve"> במילוי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0315B">
        <w:rPr>
          <w:rFonts w:hint="cs"/>
          <w:b/>
          <w:bCs/>
          <w:sz w:val="28"/>
          <w:szCs w:val="28"/>
          <w:rtl/>
        </w:rPr>
        <w:t>אלף</w:t>
      </w:r>
      <w:r>
        <w:rPr>
          <w:rFonts w:hint="cs"/>
          <w:rtl/>
        </w:rPr>
        <w:t xml:space="preserve"> </w:t>
      </w:r>
      <w:r w:rsidRPr="00A0315B">
        <w:rPr>
          <w:rFonts w:hint="cs"/>
          <w:b/>
          <w:bCs/>
          <w:sz w:val="28"/>
          <w:szCs w:val="28"/>
          <w:rtl/>
        </w:rPr>
        <w:t>הה</w:t>
      </w:r>
      <w:r>
        <w:rPr>
          <w:rFonts w:hint="cs"/>
          <w:rtl/>
        </w:rPr>
        <w:t xml:space="preserve"> </w:t>
      </w:r>
      <w:r w:rsidRPr="00A0315B">
        <w:rPr>
          <w:rFonts w:hint="cs"/>
          <w:b/>
          <w:bCs/>
          <w:sz w:val="28"/>
          <w:szCs w:val="28"/>
          <w:rtl/>
        </w:rPr>
        <w:t>יוד</w:t>
      </w:r>
      <w:r>
        <w:rPr>
          <w:rFonts w:hint="cs"/>
          <w:rtl/>
        </w:rPr>
        <w:t xml:space="preserve"> </w:t>
      </w:r>
      <w:r w:rsidRPr="00A0315B">
        <w:rPr>
          <w:rFonts w:hint="cs"/>
          <w:b/>
          <w:bCs/>
          <w:sz w:val="28"/>
          <w:szCs w:val="28"/>
          <w:rtl/>
        </w:rPr>
        <w:t>הה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הבינה</w:t>
      </w:r>
      <w:r w:rsidRPr="008636EE">
        <w:rPr>
          <w:rStyle w:val="a3"/>
          <w:rtl/>
        </w:rPr>
        <w:endnoteReference w:id="4"/>
      </w:r>
      <w:r>
        <w:rPr>
          <w:rFonts w:hint="cs"/>
          <w:rtl/>
        </w:rPr>
        <w:t>). אמנם, דווקא בספירת הבינה מתגלה הכתר העליון (עם שייכותו המיוחדת לענין הטהרה, בסוד "לפני הוי' תטהרו"</w:t>
      </w:r>
      <w:r w:rsidRPr="008636EE">
        <w:rPr>
          <w:rStyle w:val="a3"/>
          <w:rtl/>
        </w:rPr>
        <w:endnoteReference w:id="5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"לפני הוי'" היינו הכתר שקודם ל-</w:t>
      </w:r>
      <w:r w:rsidRPr="004E5EEE">
        <w:rPr>
          <w:rFonts w:hint="cs"/>
          <w:b/>
          <w:bCs/>
          <w:sz w:val="28"/>
          <w:szCs w:val="28"/>
          <w:rtl/>
        </w:rPr>
        <w:t>ד</w:t>
      </w:r>
      <w:r>
        <w:rPr>
          <w:rFonts w:hint="cs"/>
          <w:rtl/>
        </w:rPr>
        <w:t xml:space="preserve"> אותיות שם הוי'</w:t>
      </w:r>
      <w:r w:rsidRPr="008636EE">
        <w:rPr>
          <w:rStyle w:val="a3"/>
          <w:rtl/>
        </w:rPr>
        <w:endnoteReference w:id="6"/>
      </w:r>
      <w:r>
        <w:rPr>
          <w:rFonts w:hint="cs"/>
          <w:rtl/>
        </w:rPr>
        <w:t xml:space="preserve"> ו"</w:t>
      </w:r>
      <w:r w:rsidRPr="004E5EEE">
        <w:rPr>
          <w:rFonts w:hint="cs"/>
          <w:b/>
          <w:bCs/>
          <w:sz w:val="28"/>
          <w:szCs w:val="28"/>
          <w:rtl/>
        </w:rPr>
        <w:t>תטהרו</w:t>
      </w:r>
      <w:r>
        <w:rPr>
          <w:rFonts w:hint="cs"/>
          <w:rtl/>
        </w:rPr>
        <w:t xml:space="preserve">" בגימטריא </w:t>
      </w:r>
      <w:r w:rsidRPr="004E5EEE">
        <w:rPr>
          <w:rFonts w:hint="cs"/>
          <w:b/>
          <w:bCs/>
          <w:sz w:val="28"/>
          <w:szCs w:val="28"/>
          <w:rtl/>
        </w:rPr>
        <w:t>כתר</w:t>
      </w:r>
      <w:r w:rsidRPr="008636EE">
        <w:rPr>
          <w:rStyle w:val="a3"/>
          <w:rtl/>
        </w:rPr>
        <w:endnoteReference w:id="7"/>
      </w:r>
      <w:r>
        <w:rPr>
          <w:rFonts w:hint="cs"/>
          <w:rtl/>
        </w:rPr>
        <w:t>), "גילוי עתיקא באמא"</w:t>
      </w:r>
      <w:r w:rsidRPr="008636EE">
        <w:rPr>
          <w:rStyle w:val="a3"/>
          <w:rtl/>
        </w:rPr>
        <w:endnoteReference w:id="8"/>
      </w:r>
      <w:r>
        <w:rPr>
          <w:rFonts w:hint="cs"/>
          <w:rtl/>
        </w:rPr>
        <w:t xml:space="preserve">, כמתבטא בכך שדווקא כאשר אדם זוכה לבינה </w:t>
      </w:r>
      <w:r>
        <w:rPr>
          <w:rtl/>
        </w:rPr>
        <w:t>–</w:t>
      </w:r>
      <w:r>
        <w:rPr>
          <w:rFonts w:hint="cs"/>
          <w:rtl/>
        </w:rPr>
        <w:t xml:space="preserve"> הבנה והשגה </w:t>
      </w:r>
      <w:r>
        <w:rPr>
          <w:rtl/>
        </w:rPr>
        <w:t>–</w:t>
      </w:r>
      <w:r>
        <w:rPr>
          <w:rFonts w:hint="cs"/>
          <w:rtl/>
        </w:rPr>
        <w:t xml:space="preserve"> הוא חש עונג ושמחה</w:t>
      </w:r>
      <w:r w:rsidRPr="008636EE">
        <w:rPr>
          <w:rStyle w:val="a3"/>
          <w:rtl/>
        </w:rPr>
        <w:endnoteReference w:id="9"/>
      </w:r>
      <w:r>
        <w:rPr>
          <w:rFonts w:hint="cs"/>
          <w:rtl/>
        </w:rPr>
        <w:t>.</w:t>
      </w:r>
    </w:p>
    <w:p w:rsidR="005F679C" w:rsidRDefault="005F679C" w:rsidP="005F679C">
      <w:pPr>
        <w:rPr>
          <w:rFonts w:hint="cs"/>
          <w:rtl/>
        </w:rPr>
      </w:pPr>
      <w:r>
        <w:rPr>
          <w:rFonts w:hint="cs"/>
          <w:rtl/>
        </w:rPr>
        <w:t xml:space="preserve">והרמז: </w:t>
      </w:r>
      <w:r w:rsidRPr="003515D9">
        <w:rPr>
          <w:rFonts w:hint="cs"/>
          <w:b/>
          <w:bCs/>
          <w:sz w:val="28"/>
          <w:szCs w:val="28"/>
          <w:rtl/>
        </w:rPr>
        <w:t>מקוה</w:t>
      </w:r>
      <w:r>
        <w:rPr>
          <w:rFonts w:hint="cs"/>
          <w:rtl/>
        </w:rPr>
        <w:t xml:space="preserve"> </w:t>
      </w:r>
      <w:r w:rsidRPr="003515D9">
        <w:rPr>
          <w:rFonts w:hint="cs"/>
          <w:b/>
          <w:bCs/>
          <w:sz w:val="28"/>
          <w:szCs w:val="28"/>
          <w:rtl/>
        </w:rPr>
        <w:t>טהרה</w:t>
      </w:r>
      <w:r>
        <w:rPr>
          <w:rFonts w:hint="cs"/>
          <w:rtl/>
        </w:rPr>
        <w:t xml:space="preserve"> בגימטריא </w:t>
      </w:r>
      <w:r w:rsidRPr="003515D9">
        <w:rPr>
          <w:rFonts w:hint="cs"/>
          <w:b/>
          <w:bCs/>
          <w:sz w:val="28"/>
          <w:szCs w:val="28"/>
          <w:rtl/>
        </w:rPr>
        <w:t>שע</w:t>
      </w:r>
      <w:r>
        <w:rPr>
          <w:rFonts w:hint="cs"/>
          <w:rtl/>
        </w:rPr>
        <w:t xml:space="preserve">, סוד גילוי </w:t>
      </w:r>
      <w:r w:rsidRPr="00401FFA">
        <w:rPr>
          <w:rFonts w:hint="cs"/>
          <w:b/>
          <w:bCs/>
          <w:sz w:val="28"/>
          <w:szCs w:val="28"/>
          <w:rtl/>
        </w:rPr>
        <w:t>שע</w:t>
      </w:r>
      <w:r>
        <w:rPr>
          <w:rFonts w:hint="cs"/>
          <w:rtl/>
        </w:rPr>
        <w:t xml:space="preserve"> נהורין של הכתר. האושר והתענוג של הכתר מתגלים דווקא על ידי הטהרה במי המקוה (ו"מים מצמיחים כל מיני תענוג"</w:t>
      </w:r>
      <w:r w:rsidRPr="008636EE">
        <w:rPr>
          <w:rStyle w:val="a3"/>
          <w:rtl/>
        </w:rPr>
        <w:endnoteReference w:id="10"/>
      </w:r>
      <w:r>
        <w:rPr>
          <w:rFonts w:hint="cs"/>
          <w:rtl/>
        </w:rPr>
        <w:t>). כאשר גם האיש וגם האשה טובלים</w:t>
      </w:r>
      <w:r w:rsidRPr="008636EE">
        <w:rPr>
          <w:rStyle w:val="a3"/>
          <w:rtl/>
        </w:rPr>
        <w:endnoteReference w:id="11"/>
      </w:r>
      <w:r>
        <w:rPr>
          <w:rFonts w:hint="cs"/>
          <w:rtl/>
        </w:rPr>
        <w:t xml:space="preserve"> ב</w:t>
      </w:r>
      <w:r w:rsidRPr="00B55588">
        <w:rPr>
          <w:rFonts w:hint="cs"/>
          <w:b/>
          <w:bCs/>
          <w:sz w:val="28"/>
          <w:szCs w:val="28"/>
          <w:rtl/>
        </w:rPr>
        <w:t>מקוה</w:t>
      </w:r>
      <w:r>
        <w:rPr>
          <w:rFonts w:hint="cs"/>
          <w:rtl/>
        </w:rPr>
        <w:t xml:space="preserve"> </w:t>
      </w:r>
      <w:r w:rsidRPr="00B55588">
        <w:rPr>
          <w:rFonts w:hint="cs"/>
          <w:b/>
          <w:bCs/>
          <w:sz w:val="28"/>
          <w:szCs w:val="28"/>
          <w:rtl/>
        </w:rPr>
        <w:t>טהרה</w:t>
      </w:r>
      <w:r>
        <w:rPr>
          <w:rFonts w:hint="cs"/>
          <w:rtl/>
        </w:rPr>
        <w:t xml:space="preserve"> יש גילוי כפול של </w:t>
      </w:r>
      <w:r w:rsidRPr="00B55588">
        <w:rPr>
          <w:rFonts w:hint="cs"/>
          <w:b/>
          <w:bCs/>
          <w:sz w:val="28"/>
          <w:szCs w:val="28"/>
          <w:rtl/>
        </w:rPr>
        <w:t>שע</w:t>
      </w:r>
      <w:r>
        <w:rPr>
          <w:rFonts w:hint="cs"/>
          <w:rtl/>
        </w:rPr>
        <w:t xml:space="preserve"> נהורין, המתבטא ב</w:t>
      </w:r>
      <w:r w:rsidRPr="00B55588">
        <w:rPr>
          <w:rFonts w:hint="cs"/>
          <w:b/>
          <w:bCs/>
          <w:sz w:val="28"/>
          <w:szCs w:val="28"/>
          <w:rtl/>
        </w:rPr>
        <w:t>שעש</w:t>
      </w:r>
      <w:r>
        <w:rPr>
          <w:rFonts w:hint="cs"/>
          <w:rtl/>
        </w:rPr>
        <w:t>ו</w:t>
      </w:r>
      <w:r w:rsidRPr="00B55588">
        <w:rPr>
          <w:rFonts w:hint="cs"/>
          <w:b/>
          <w:bCs/>
          <w:sz w:val="28"/>
          <w:szCs w:val="28"/>
          <w:rtl/>
        </w:rPr>
        <w:t>ע</w:t>
      </w:r>
      <w:r>
        <w:rPr>
          <w:rFonts w:hint="cs"/>
          <w:rtl/>
        </w:rPr>
        <w:t xml:space="preserve"> שביניהם.</w:t>
      </w:r>
    </w:p>
    <w:p w:rsidR="005F679C" w:rsidRDefault="005F679C" w:rsidP="005F679C">
      <w:pPr>
        <w:rPr>
          <w:rFonts w:hint="cs"/>
          <w:rtl/>
        </w:rPr>
      </w:pPr>
      <w:r w:rsidRPr="009311BA">
        <w:rPr>
          <w:rFonts w:hint="cs"/>
          <w:b/>
          <w:bCs/>
          <w:sz w:val="28"/>
          <w:szCs w:val="28"/>
          <w:rtl/>
        </w:rPr>
        <w:t>מקוה</w:t>
      </w:r>
      <w:r w:rsidRPr="00D67F80">
        <w:rPr>
          <w:rFonts w:hint="cs"/>
          <w:spacing w:val="12"/>
          <w:rtl/>
        </w:rPr>
        <w:t xml:space="preserve"> </w:t>
      </w:r>
      <w:r w:rsidRPr="009311BA">
        <w:rPr>
          <w:rFonts w:hint="cs"/>
          <w:b/>
          <w:bCs/>
          <w:sz w:val="28"/>
          <w:szCs w:val="28"/>
          <w:rtl/>
        </w:rPr>
        <w:t>טהרה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במילוי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(</w:t>
      </w:r>
      <w:r w:rsidRPr="009311BA">
        <w:rPr>
          <w:rFonts w:hint="cs"/>
          <w:b/>
          <w:bCs/>
          <w:sz w:val="30"/>
          <w:szCs w:val="28"/>
          <w:rtl/>
        </w:rPr>
        <w:t>מם</w:t>
      </w:r>
      <w:r w:rsidRPr="00D67F80">
        <w:rPr>
          <w:rFonts w:hint="cs"/>
          <w:b/>
          <w:bCs/>
          <w:spacing w:val="12"/>
          <w:szCs w:val="24"/>
          <w:rtl/>
        </w:rPr>
        <w:t xml:space="preserve"> </w:t>
      </w:r>
      <w:r w:rsidRPr="009311BA">
        <w:rPr>
          <w:rFonts w:hint="cs"/>
          <w:b/>
          <w:bCs/>
          <w:sz w:val="30"/>
          <w:szCs w:val="28"/>
          <w:rtl/>
        </w:rPr>
        <w:t>קוף</w:t>
      </w:r>
      <w:r w:rsidRPr="00D67F80">
        <w:rPr>
          <w:rFonts w:hint="cs"/>
          <w:b/>
          <w:bCs/>
          <w:spacing w:val="12"/>
          <w:szCs w:val="24"/>
          <w:rtl/>
        </w:rPr>
        <w:t xml:space="preserve"> </w:t>
      </w:r>
      <w:r w:rsidRPr="009311BA">
        <w:rPr>
          <w:rFonts w:hint="cs"/>
          <w:b/>
          <w:bCs/>
          <w:sz w:val="30"/>
          <w:szCs w:val="28"/>
          <w:rtl/>
        </w:rPr>
        <w:t>וו</w:t>
      </w:r>
      <w:r w:rsidRPr="00D67F80">
        <w:rPr>
          <w:rFonts w:hint="cs"/>
          <w:b/>
          <w:bCs/>
          <w:spacing w:val="12"/>
          <w:szCs w:val="24"/>
          <w:rtl/>
        </w:rPr>
        <w:t xml:space="preserve"> </w:t>
      </w:r>
      <w:r w:rsidRPr="009311BA">
        <w:rPr>
          <w:rFonts w:hint="cs"/>
          <w:b/>
          <w:bCs/>
          <w:sz w:val="30"/>
          <w:szCs w:val="28"/>
          <w:rtl/>
        </w:rPr>
        <w:t>הא</w:t>
      </w:r>
      <w:r w:rsidRPr="00D67F80">
        <w:rPr>
          <w:rFonts w:hint="cs"/>
          <w:b/>
          <w:bCs/>
          <w:spacing w:val="12"/>
          <w:szCs w:val="24"/>
          <w:rtl/>
        </w:rPr>
        <w:t xml:space="preserve"> </w:t>
      </w:r>
      <w:r w:rsidRPr="009311BA">
        <w:rPr>
          <w:rFonts w:hint="cs"/>
          <w:b/>
          <w:bCs/>
          <w:sz w:val="30"/>
          <w:szCs w:val="28"/>
          <w:rtl/>
        </w:rPr>
        <w:t>טית</w:t>
      </w:r>
      <w:r w:rsidRPr="00D67F80">
        <w:rPr>
          <w:rFonts w:hint="cs"/>
          <w:b/>
          <w:bCs/>
          <w:spacing w:val="12"/>
          <w:szCs w:val="24"/>
          <w:rtl/>
        </w:rPr>
        <w:t xml:space="preserve"> </w:t>
      </w:r>
      <w:r w:rsidRPr="009311BA">
        <w:rPr>
          <w:rFonts w:hint="cs"/>
          <w:b/>
          <w:bCs/>
          <w:sz w:val="30"/>
          <w:szCs w:val="28"/>
          <w:rtl/>
        </w:rPr>
        <w:t>הא</w:t>
      </w:r>
      <w:r w:rsidRPr="00D67F80">
        <w:rPr>
          <w:rFonts w:hint="cs"/>
          <w:b/>
          <w:bCs/>
          <w:spacing w:val="12"/>
          <w:szCs w:val="24"/>
          <w:rtl/>
        </w:rPr>
        <w:t xml:space="preserve"> </w:t>
      </w:r>
      <w:r w:rsidRPr="009311BA">
        <w:rPr>
          <w:rFonts w:hint="cs"/>
          <w:b/>
          <w:bCs/>
          <w:sz w:val="30"/>
          <w:szCs w:val="28"/>
          <w:rtl/>
        </w:rPr>
        <w:t>ריש</w:t>
      </w:r>
      <w:r w:rsidRPr="00D67F80">
        <w:rPr>
          <w:rFonts w:hint="cs"/>
          <w:b/>
          <w:bCs/>
          <w:spacing w:val="12"/>
          <w:szCs w:val="24"/>
          <w:rtl/>
        </w:rPr>
        <w:t xml:space="preserve"> </w:t>
      </w:r>
      <w:r w:rsidRPr="009311BA">
        <w:rPr>
          <w:rFonts w:hint="cs"/>
          <w:b/>
          <w:bCs/>
          <w:sz w:val="30"/>
          <w:szCs w:val="28"/>
          <w:rtl/>
        </w:rPr>
        <w:t>הא</w:t>
      </w:r>
      <w:r>
        <w:rPr>
          <w:rFonts w:hint="cs"/>
          <w:rtl/>
        </w:rPr>
        <w:t>)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עולה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1225,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מספר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שלם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ומיוחד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העולה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גם</w:t>
      </w:r>
      <w:r w:rsidRPr="00D67F80">
        <w:rPr>
          <w:rFonts w:hint="cs"/>
          <w:spacing w:val="12"/>
          <w:rtl/>
        </w:rPr>
        <w:t xml:space="preserve"> </w:t>
      </w:r>
      <w:r w:rsidRPr="00BD1575">
        <w:rPr>
          <w:rFonts w:hint="cs"/>
          <w:b/>
          <w:bCs/>
          <w:sz w:val="28"/>
          <w:szCs w:val="28"/>
          <w:rtl/>
        </w:rPr>
        <w:t>לה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ברבוע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וגם</w:t>
      </w:r>
      <w:r w:rsidRPr="00D67F80">
        <w:rPr>
          <w:rFonts w:hint="cs"/>
          <w:spacing w:val="12"/>
          <w:rtl/>
        </w:rPr>
        <w:t xml:space="preserve"> </w:t>
      </w:r>
      <w:r w:rsidRPr="00BD1575">
        <w:rPr>
          <w:rFonts w:hint="cs"/>
          <w:b/>
          <w:bCs/>
          <w:sz w:val="28"/>
          <w:szCs w:val="28"/>
          <w:rtl/>
        </w:rPr>
        <w:t>מט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במשולש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(</w:t>
      </w:r>
      <w:r w:rsidRPr="00BD1575">
        <w:rPr>
          <w:rFonts w:hint="cs"/>
          <w:b/>
          <w:bCs/>
          <w:sz w:val="28"/>
          <w:szCs w:val="28"/>
          <w:rtl/>
        </w:rPr>
        <w:t>מט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ר"ת</w:t>
      </w:r>
      <w:r w:rsidRPr="00D67F80">
        <w:rPr>
          <w:rFonts w:hint="cs"/>
          <w:spacing w:val="12"/>
          <w:rtl/>
        </w:rPr>
        <w:t xml:space="preserve"> </w:t>
      </w:r>
      <w:r w:rsidRPr="00BD1575">
        <w:rPr>
          <w:rFonts w:hint="cs"/>
          <w:b/>
          <w:bCs/>
          <w:sz w:val="28"/>
          <w:szCs w:val="28"/>
          <w:rtl/>
        </w:rPr>
        <w:t>מ</w:t>
      </w:r>
      <w:r>
        <w:rPr>
          <w:rFonts w:hint="cs"/>
          <w:rtl/>
        </w:rPr>
        <w:t>קוה</w:t>
      </w:r>
      <w:r w:rsidRPr="00D67F80">
        <w:rPr>
          <w:rFonts w:hint="cs"/>
          <w:spacing w:val="12"/>
          <w:rtl/>
        </w:rPr>
        <w:t xml:space="preserve"> </w:t>
      </w:r>
      <w:r w:rsidRPr="00BD1575">
        <w:rPr>
          <w:rFonts w:hint="cs"/>
          <w:b/>
          <w:bCs/>
          <w:sz w:val="28"/>
          <w:szCs w:val="28"/>
          <w:rtl/>
        </w:rPr>
        <w:t>ט</w:t>
      </w:r>
      <w:r>
        <w:rPr>
          <w:rFonts w:hint="cs"/>
          <w:rtl/>
        </w:rPr>
        <w:t>הרה).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מספר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זה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שייך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בפרט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ל-</w:t>
      </w:r>
      <w:r w:rsidRPr="002A44F3">
        <w:rPr>
          <w:rFonts w:hint="cs"/>
          <w:b/>
          <w:bCs/>
          <w:sz w:val="28"/>
          <w:szCs w:val="28"/>
          <w:rtl/>
        </w:rPr>
        <w:t>מט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ימי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ספירת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העומר,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אותם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מונים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באופן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מצטבר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("יום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אחד",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"שני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ימים",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"שלשה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ימים",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ולא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ראשון-שני-שלישי)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עד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שמגיעים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ל-</w:t>
      </w:r>
      <w:r w:rsidRPr="00BD1575">
        <w:rPr>
          <w:rFonts w:hint="cs"/>
          <w:b/>
          <w:bCs/>
          <w:sz w:val="28"/>
          <w:szCs w:val="28"/>
          <w:rtl/>
        </w:rPr>
        <w:t>מט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במשולש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ה'הופך'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ל-</w:t>
      </w:r>
      <w:r w:rsidRPr="00BD1575">
        <w:rPr>
          <w:rFonts w:hint="cs"/>
          <w:b/>
          <w:bCs/>
          <w:sz w:val="28"/>
          <w:szCs w:val="28"/>
          <w:rtl/>
        </w:rPr>
        <w:t>לה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ברבוע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(על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דרך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הדלקת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הנרות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ב-</w:t>
      </w:r>
      <w:r w:rsidRPr="00BD1575">
        <w:rPr>
          <w:rFonts w:hint="cs"/>
          <w:b/>
          <w:bCs/>
          <w:sz w:val="28"/>
          <w:szCs w:val="28"/>
          <w:rtl/>
        </w:rPr>
        <w:t>ח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ימי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החנוכה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באופן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של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"מוסיף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והולך"</w:t>
      </w:r>
      <w:r w:rsidRPr="008636EE">
        <w:rPr>
          <w:rStyle w:val="a3"/>
          <w:rtl/>
        </w:rPr>
        <w:endnoteReference w:id="12"/>
      </w:r>
      <w:r>
        <w:rPr>
          <w:rFonts w:hint="cs"/>
          <w:rtl/>
        </w:rPr>
        <w:t>,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במשולש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של</w:t>
      </w:r>
      <w:r w:rsidRPr="00D67F80">
        <w:rPr>
          <w:rFonts w:hint="cs"/>
          <w:spacing w:val="12"/>
          <w:rtl/>
        </w:rPr>
        <w:t xml:space="preserve"> </w:t>
      </w:r>
      <w:r w:rsidRPr="00BD1575">
        <w:rPr>
          <w:rFonts w:hint="cs"/>
          <w:b/>
          <w:bCs/>
          <w:sz w:val="28"/>
          <w:szCs w:val="28"/>
          <w:rtl/>
        </w:rPr>
        <w:t>ח</w:t>
      </w:r>
      <w:r>
        <w:rPr>
          <w:rFonts w:hint="cs"/>
          <w:rtl/>
        </w:rPr>
        <w:t>,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העולה</w:t>
      </w:r>
      <w:r w:rsidRPr="00D67F80">
        <w:rPr>
          <w:rFonts w:hint="cs"/>
          <w:spacing w:val="12"/>
          <w:rtl/>
        </w:rPr>
        <w:t xml:space="preserve"> </w:t>
      </w:r>
      <w:r w:rsidRPr="00BD1575">
        <w:rPr>
          <w:rFonts w:hint="cs"/>
          <w:b/>
          <w:bCs/>
          <w:sz w:val="28"/>
          <w:szCs w:val="28"/>
          <w:rtl/>
        </w:rPr>
        <w:t>לו</w:t>
      </w:r>
      <w:r>
        <w:rPr>
          <w:rFonts w:hint="cs"/>
          <w:rtl/>
        </w:rPr>
        <w:t>,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משולש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ה'הופך'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ל-</w:t>
      </w:r>
      <w:r w:rsidRPr="00BD1575">
        <w:rPr>
          <w:rFonts w:hint="cs"/>
          <w:b/>
          <w:bCs/>
          <w:sz w:val="28"/>
          <w:szCs w:val="28"/>
          <w:rtl/>
        </w:rPr>
        <w:t>ו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ברבוע),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כמבואר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במ"א</w:t>
      </w:r>
      <w:r w:rsidRPr="008636EE">
        <w:rPr>
          <w:rStyle w:val="a3"/>
          <w:rtl/>
        </w:rPr>
        <w:endnoteReference w:id="13"/>
      </w:r>
      <w:r>
        <w:rPr>
          <w:rFonts w:hint="cs"/>
          <w:rtl/>
        </w:rPr>
        <w:t>.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והנה,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על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פי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המבואר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בזהר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הקדוש</w:t>
      </w:r>
      <w:r w:rsidRPr="008636EE">
        <w:rPr>
          <w:rStyle w:val="a3"/>
          <w:rtl/>
        </w:rPr>
        <w:endnoteReference w:id="14"/>
      </w:r>
      <w:r>
        <w:rPr>
          <w:rFonts w:hint="cs"/>
          <w:rtl/>
        </w:rPr>
        <w:t>,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שבעה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שבועות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הספירה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עצמם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הם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על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דרך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ספירת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שבעת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ימי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הנקיים,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היינו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שעצם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השלמת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הספירה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(בהתכללות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של</w:t>
      </w:r>
      <w:r w:rsidRPr="00D67F80">
        <w:rPr>
          <w:rFonts w:hint="cs"/>
          <w:spacing w:val="12"/>
          <w:rtl/>
        </w:rPr>
        <w:t xml:space="preserve"> </w:t>
      </w:r>
      <w:r w:rsidRPr="00BD1575">
        <w:rPr>
          <w:rFonts w:hint="cs"/>
          <w:b/>
          <w:bCs/>
          <w:sz w:val="28"/>
          <w:szCs w:val="28"/>
          <w:rtl/>
        </w:rPr>
        <w:t>ז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פעמים</w:t>
      </w:r>
      <w:r w:rsidRPr="00D67F80">
        <w:rPr>
          <w:rFonts w:hint="cs"/>
          <w:spacing w:val="12"/>
          <w:rtl/>
        </w:rPr>
        <w:t xml:space="preserve"> </w:t>
      </w:r>
      <w:r w:rsidRPr="00BD1575">
        <w:rPr>
          <w:rFonts w:hint="cs"/>
          <w:b/>
          <w:bCs/>
          <w:sz w:val="28"/>
          <w:szCs w:val="28"/>
          <w:rtl/>
        </w:rPr>
        <w:t>ז</w:t>
      </w:r>
      <w:r>
        <w:rPr>
          <w:rFonts w:hint="cs"/>
          <w:rtl/>
        </w:rPr>
        <w:t>)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'מולידה'</w:t>
      </w:r>
      <w:r w:rsidRPr="00D67F80">
        <w:rPr>
          <w:rFonts w:hint="cs"/>
          <w:spacing w:val="12"/>
          <w:rtl/>
        </w:rPr>
        <w:t xml:space="preserve"> </w:t>
      </w:r>
      <w:r w:rsidRPr="00BD1575">
        <w:rPr>
          <w:rFonts w:hint="cs"/>
          <w:b/>
          <w:bCs/>
          <w:sz w:val="28"/>
          <w:szCs w:val="28"/>
          <w:rtl/>
        </w:rPr>
        <w:t>מקוה</w:t>
      </w:r>
      <w:r w:rsidRPr="00D67F80">
        <w:rPr>
          <w:rFonts w:hint="cs"/>
          <w:spacing w:val="12"/>
          <w:rtl/>
        </w:rPr>
        <w:t xml:space="preserve"> </w:t>
      </w:r>
      <w:r w:rsidRPr="00BD1575">
        <w:rPr>
          <w:rFonts w:hint="cs"/>
          <w:b/>
          <w:bCs/>
          <w:sz w:val="28"/>
          <w:szCs w:val="28"/>
          <w:rtl/>
        </w:rPr>
        <w:t>טהרה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במילוי.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מספר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זה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עולה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גם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"</w:t>
      </w:r>
      <w:r w:rsidRPr="007223A0">
        <w:rPr>
          <w:rFonts w:hint="cs"/>
          <w:b/>
          <w:bCs/>
          <w:sz w:val="28"/>
          <w:szCs w:val="28"/>
          <w:rtl/>
        </w:rPr>
        <w:t>זה</w:t>
      </w:r>
      <w:r w:rsidRPr="00D67F80">
        <w:rPr>
          <w:rFonts w:hint="cs"/>
          <w:spacing w:val="12"/>
          <w:rtl/>
        </w:rPr>
        <w:t xml:space="preserve"> </w:t>
      </w:r>
      <w:r w:rsidRPr="007223A0">
        <w:rPr>
          <w:rFonts w:hint="cs"/>
          <w:b/>
          <w:bCs/>
          <w:sz w:val="28"/>
          <w:szCs w:val="28"/>
          <w:rtl/>
        </w:rPr>
        <w:t>שמי</w:t>
      </w:r>
      <w:r w:rsidRPr="00D67F80">
        <w:rPr>
          <w:rFonts w:hint="cs"/>
          <w:spacing w:val="12"/>
          <w:rtl/>
        </w:rPr>
        <w:t xml:space="preserve"> </w:t>
      </w:r>
      <w:r w:rsidRPr="007223A0">
        <w:rPr>
          <w:rFonts w:hint="cs"/>
          <w:b/>
          <w:bCs/>
          <w:sz w:val="28"/>
          <w:szCs w:val="28"/>
          <w:rtl/>
        </w:rPr>
        <w:t>לעלם</w:t>
      </w:r>
      <w:r w:rsidRPr="00D67F80">
        <w:rPr>
          <w:rFonts w:hint="cs"/>
          <w:spacing w:val="12"/>
          <w:rtl/>
        </w:rPr>
        <w:t xml:space="preserve"> </w:t>
      </w:r>
      <w:r w:rsidRPr="007223A0">
        <w:rPr>
          <w:rFonts w:hint="cs"/>
          <w:b/>
          <w:bCs/>
          <w:sz w:val="28"/>
          <w:szCs w:val="28"/>
          <w:rtl/>
        </w:rPr>
        <w:t>וזה</w:t>
      </w:r>
      <w:r w:rsidRPr="00D67F80">
        <w:rPr>
          <w:rFonts w:hint="cs"/>
          <w:spacing w:val="12"/>
          <w:rtl/>
        </w:rPr>
        <w:t xml:space="preserve"> </w:t>
      </w:r>
      <w:r w:rsidRPr="007223A0">
        <w:rPr>
          <w:rFonts w:hint="cs"/>
          <w:b/>
          <w:bCs/>
          <w:sz w:val="28"/>
          <w:szCs w:val="28"/>
          <w:rtl/>
        </w:rPr>
        <w:t>זכרי</w:t>
      </w:r>
      <w:r w:rsidRPr="00D67F80">
        <w:rPr>
          <w:rFonts w:hint="cs"/>
          <w:spacing w:val="12"/>
          <w:rtl/>
        </w:rPr>
        <w:t xml:space="preserve"> </w:t>
      </w:r>
      <w:r w:rsidRPr="007223A0">
        <w:rPr>
          <w:rFonts w:hint="cs"/>
          <w:b/>
          <w:bCs/>
          <w:sz w:val="28"/>
          <w:szCs w:val="28"/>
          <w:rtl/>
        </w:rPr>
        <w:t>לדר</w:t>
      </w:r>
      <w:r w:rsidRPr="00D67F80">
        <w:rPr>
          <w:rFonts w:hint="cs"/>
          <w:spacing w:val="12"/>
          <w:rtl/>
        </w:rPr>
        <w:t xml:space="preserve"> </w:t>
      </w:r>
      <w:r w:rsidRPr="007223A0">
        <w:rPr>
          <w:rFonts w:hint="cs"/>
          <w:b/>
          <w:bCs/>
          <w:sz w:val="28"/>
          <w:szCs w:val="28"/>
          <w:rtl/>
        </w:rPr>
        <w:t>דר</w:t>
      </w:r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15"/>
      </w:r>
      <w:r w:rsidRPr="00D67F80">
        <w:rPr>
          <w:rFonts w:hint="cs"/>
          <w:spacing w:val="12"/>
          <w:rtl/>
        </w:rPr>
        <w:t xml:space="preserve"> </w:t>
      </w:r>
      <w:r>
        <w:rPr>
          <w:rtl/>
        </w:rPr>
        <w:t>–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פסוק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lastRenderedPageBreak/>
        <w:t>הרומז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ליחוד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החתן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(שבבחינת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שם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הוי',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"שמי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לעלם")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והכלה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(שבבחינת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שם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א-דני,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"זכרי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לדר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דר")</w:t>
      </w:r>
      <w:bookmarkStart w:id="0" w:name="_Ref300928001"/>
      <w:r w:rsidRPr="008636EE">
        <w:rPr>
          <w:rStyle w:val="a3"/>
          <w:rtl/>
        </w:rPr>
        <w:endnoteReference w:id="16"/>
      </w:r>
      <w:bookmarkEnd w:id="0"/>
      <w:r>
        <w:rPr>
          <w:rFonts w:hint="cs"/>
          <w:rtl/>
        </w:rPr>
        <w:t>.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רק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חלק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המילוי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עולה</w:t>
      </w:r>
      <w:r w:rsidRPr="00D67F80">
        <w:rPr>
          <w:rFonts w:hint="cs"/>
          <w:spacing w:val="12"/>
          <w:rtl/>
        </w:rPr>
        <w:t xml:space="preserve"> </w:t>
      </w:r>
      <w:r w:rsidRPr="000F3083">
        <w:rPr>
          <w:rFonts w:hint="cs"/>
          <w:b/>
          <w:bCs/>
          <w:sz w:val="28"/>
          <w:szCs w:val="28"/>
          <w:rtl/>
        </w:rPr>
        <w:t>אדם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פעמים</w:t>
      </w:r>
      <w:r w:rsidRPr="00D67F80">
        <w:rPr>
          <w:rFonts w:hint="cs"/>
          <w:spacing w:val="12"/>
          <w:rtl/>
        </w:rPr>
        <w:t xml:space="preserve"> </w:t>
      </w:r>
      <w:r w:rsidRPr="000F3083">
        <w:rPr>
          <w:rFonts w:hint="cs"/>
          <w:b/>
          <w:bCs/>
          <w:sz w:val="28"/>
          <w:szCs w:val="28"/>
          <w:rtl/>
        </w:rPr>
        <w:t>חוה</w:t>
      </w:r>
      <w:r w:rsidRPr="00D67F80">
        <w:rPr>
          <w:rFonts w:hint="cs"/>
          <w:spacing w:val="12"/>
          <w:rtl/>
        </w:rPr>
        <w:t xml:space="preserve"> </w:t>
      </w:r>
      <w:r>
        <w:rPr>
          <w:rtl/>
        </w:rPr>
        <w:t>–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החתן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והכלה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המתייחדים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להיות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"לבשר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אחד"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לאחר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הטבילה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במקוה</w:t>
      </w:r>
      <w:r w:rsidRPr="00D67F80">
        <w:rPr>
          <w:rFonts w:hint="cs"/>
          <w:spacing w:val="12"/>
          <w:rtl/>
        </w:rPr>
        <w:t xml:space="preserve"> </w:t>
      </w:r>
      <w:r>
        <w:rPr>
          <w:rFonts w:hint="cs"/>
          <w:rtl/>
        </w:rPr>
        <w:t>הטהרה.</w:t>
      </w:r>
    </w:p>
    <w:p w:rsidR="005F679C" w:rsidRDefault="005F679C" w:rsidP="005F679C">
      <w:pPr>
        <w:rPr>
          <w:rFonts w:hint="cs"/>
          <w:rtl/>
        </w:rPr>
      </w:pPr>
      <w:r>
        <w:rPr>
          <w:rFonts w:hint="cs"/>
          <w:rtl/>
        </w:rPr>
        <w:t xml:space="preserve">ולשלמות הרמז: </w:t>
      </w:r>
      <w:r w:rsidRPr="00BD596D">
        <w:rPr>
          <w:rFonts w:hint="cs"/>
          <w:b/>
          <w:bCs/>
          <w:sz w:val="28"/>
          <w:szCs w:val="28"/>
          <w:rtl/>
        </w:rPr>
        <w:t>מקוה</w:t>
      </w:r>
      <w:r>
        <w:rPr>
          <w:rFonts w:hint="cs"/>
          <w:rtl/>
        </w:rPr>
        <w:t xml:space="preserve"> </w:t>
      </w:r>
      <w:r w:rsidRPr="00BD596D">
        <w:rPr>
          <w:rFonts w:hint="cs"/>
          <w:b/>
          <w:bCs/>
          <w:sz w:val="28"/>
          <w:szCs w:val="28"/>
          <w:rtl/>
        </w:rPr>
        <w:t>טהרה</w:t>
      </w:r>
      <w:r>
        <w:rPr>
          <w:rFonts w:hint="cs"/>
          <w:rtl/>
        </w:rPr>
        <w:t xml:space="preserve"> פשוט ועוד </w:t>
      </w:r>
      <w:r w:rsidRPr="00BD596D">
        <w:rPr>
          <w:rFonts w:hint="cs"/>
          <w:b/>
          <w:bCs/>
          <w:sz w:val="28"/>
          <w:szCs w:val="28"/>
          <w:rtl/>
        </w:rPr>
        <w:t>מקוה</w:t>
      </w:r>
      <w:r>
        <w:rPr>
          <w:rFonts w:hint="cs"/>
          <w:rtl/>
        </w:rPr>
        <w:t xml:space="preserve"> </w:t>
      </w:r>
      <w:r w:rsidRPr="00BD596D">
        <w:rPr>
          <w:rFonts w:hint="cs"/>
          <w:b/>
          <w:bCs/>
          <w:sz w:val="28"/>
          <w:szCs w:val="28"/>
          <w:rtl/>
        </w:rPr>
        <w:t>טהרה</w:t>
      </w:r>
      <w:r>
        <w:rPr>
          <w:rFonts w:hint="cs"/>
          <w:rtl/>
        </w:rPr>
        <w:t xml:space="preserve"> במילוי (</w:t>
      </w:r>
      <w:r w:rsidRPr="009311BA">
        <w:rPr>
          <w:rFonts w:hint="cs"/>
          <w:b/>
          <w:bCs/>
          <w:sz w:val="30"/>
          <w:szCs w:val="28"/>
          <w:rtl/>
        </w:rPr>
        <w:t>מם</w:t>
      </w:r>
      <w:r w:rsidRPr="00871100">
        <w:rPr>
          <w:rFonts w:hint="cs"/>
          <w:b/>
          <w:bCs/>
          <w:szCs w:val="24"/>
          <w:rtl/>
        </w:rPr>
        <w:t xml:space="preserve"> </w:t>
      </w:r>
      <w:r w:rsidRPr="009311BA">
        <w:rPr>
          <w:rFonts w:hint="cs"/>
          <w:b/>
          <w:bCs/>
          <w:sz w:val="30"/>
          <w:szCs w:val="28"/>
          <w:rtl/>
        </w:rPr>
        <w:t>קוף</w:t>
      </w:r>
      <w:r w:rsidRPr="00871100">
        <w:rPr>
          <w:rFonts w:hint="cs"/>
          <w:b/>
          <w:bCs/>
          <w:szCs w:val="24"/>
          <w:rtl/>
        </w:rPr>
        <w:t xml:space="preserve"> </w:t>
      </w:r>
      <w:r w:rsidRPr="009311BA">
        <w:rPr>
          <w:rFonts w:hint="cs"/>
          <w:b/>
          <w:bCs/>
          <w:sz w:val="30"/>
          <w:szCs w:val="28"/>
          <w:rtl/>
        </w:rPr>
        <w:t>וו</w:t>
      </w:r>
      <w:r w:rsidRPr="00871100">
        <w:rPr>
          <w:rFonts w:hint="cs"/>
          <w:b/>
          <w:bCs/>
          <w:szCs w:val="24"/>
          <w:rtl/>
        </w:rPr>
        <w:t xml:space="preserve"> </w:t>
      </w:r>
      <w:r w:rsidRPr="009311BA">
        <w:rPr>
          <w:rFonts w:hint="cs"/>
          <w:b/>
          <w:bCs/>
          <w:sz w:val="30"/>
          <w:szCs w:val="28"/>
          <w:rtl/>
        </w:rPr>
        <w:t>הא</w:t>
      </w:r>
      <w:r w:rsidRPr="00871100">
        <w:rPr>
          <w:rFonts w:hint="cs"/>
          <w:b/>
          <w:bCs/>
          <w:szCs w:val="24"/>
          <w:rtl/>
        </w:rPr>
        <w:t xml:space="preserve"> </w:t>
      </w:r>
      <w:r w:rsidRPr="009311BA">
        <w:rPr>
          <w:rFonts w:hint="cs"/>
          <w:b/>
          <w:bCs/>
          <w:sz w:val="30"/>
          <w:szCs w:val="28"/>
          <w:rtl/>
        </w:rPr>
        <w:t>טית</w:t>
      </w:r>
      <w:r w:rsidRPr="00871100">
        <w:rPr>
          <w:rFonts w:hint="cs"/>
          <w:b/>
          <w:bCs/>
          <w:szCs w:val="24"/>
          <w:rtl/>
        </w:rPr>
        <w:t xml:space="preserve"> </w:t>
      </w:r>
      <w:r w:rsidRPr="009311BA">
        <w:rPr>
          <w:rFonts w:hint="cs"/>
          <w:b/>
          <w:bCs/>
          <w:sz w:val="30"/>
          <w:szCs w:val="28"/>
          <w:rtl/>
        </w:rPr>
        <w:t>הא</w:t>
      </w:r>
      <w:r w:rsidRPr="00871100">
        <w:rPr>
          <w:rFonts w:hint="cs"/>
          <w:b/>
          <w:bCs/>
          <w:szCs w:val="24"/>
          <w:rtl/>
        </w:rPr>
        <w:t xml:space="preserve"> </w:t>
      </w:r>
      <w:r w:rsidRPr="009311BA">
        <w:rPr>
          <w:rFonts w:hint="cs"/>
          <w:b/>
          <w:bCs/>
          <w:sz w:val="30"/>
          <w:szCs w:val="28"/>
          <w:rtl/>
        </w:rPr>
        <w:t>ריש</w:t>
      </w:r>
      <w:r w:rsidRPr="00871100">
        <w:rPr>
          <w:rFonts w:hint="cs"/>
          <w:b/>
          <w:bCs/>
          <w:szCs w:val="24"/>
          <w:rtl/>
        </w:rPr>
        <w:t xml:space="preserve"> </w:t>
      </w:r>
      <w:r w:rsidRPr="009311BA">
        <w:rPr>
          <w:rFonts w:hint="cs"/>
          <w:b/>
          <w:bCs/>
          <w:sz w:val="30"/>
          <w:szCs w:val="28"/>
          <w:rtl/>
        </w:rPr>
        <w:t>הא</w:t>
      </w:r>
      <w:r>
        <w:rPr>
          <w:rFonts w:hint="cs"/>
          <w:rtl/>
        </w:rPr>
        <w:t xml:space="preserve">) ועוד </w:t>
      </w:r>
      <w:r w:rsidRPr="005B6719">
        <w:rPr>
          <w:rFonts w:hint="cs"/>
          <w:b/>
          <w:bCs/>
          <w:sz w:val="28"/>
          <w:szCs w:val="28"/>
          <w:rtl/>
        </w:rPr>
        <w:t>מקוה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טהרה</w:t>
      </w:r>
      <w:r>
        <w:rPr>
          <w:rFonts w:hint="cs"/>
          <w:rtl/>
        </w:rPr>
        <w:t xml:space="preserve"> במילוי המילוי (</w:t>
      </w:r>
      <w:r w:rsidRPr="005B6719">
        <w:rPr>
          <w:rFonts w:hint="cs"/>
          <w:b/>
          <w:bCs/>
          <w:sz w:val="28"/>
          <w:szCs w:val="28"/>
          <w:rtl/>
        </w:rPr>
        <w:t>מם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מם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קוף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וו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פא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וו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וו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הא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אלף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טית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יוד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תו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הא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אלף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ריש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יוד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שין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הא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אלף</w:t>
      </w:r>
      <w:r>
        <w:rPr>
          <w:rFonts w:hint="cs"/>
          <w:rtl/>
        </w:rPr>
        <w:t xml:space="preserve">) עולה 4144, העולה </w:t>
      </w:r>
      <w:r w:rsidRPr="005B6719">
        <w:rPr>
          <w:rFonts w:hint="cs"/>
          <w:b/>
          <w:bCs/>
          <w:sz w:val="28"/>
          <w:szCs w:val="28"/>
          <w:rtl/>
        </w:rPr>
        <w:t>לז</w:t>
      </w:r>
      <w:r>
        <w:rPr>
          <w:rFonts w:hint="cs"/>
          <w:rtl/>
        </w:rPr>
        <w:t xml:space="preserve"> (</w:t>
      </w:r>
      <w:r w:rsidRPr="005B6719">
        <w:rPr>
          <w:rFonts w:hint="cs"/>
          <w:b/>
          <w:bCs/>
          <w:sz w:val="28"/>
          <w:szCs w:val="28"/>
          <w:rtl/>
        </w:rPr>
        <w:t>יחידה</w:t>
      </w:r>
      <w:r>
        <w:rPr>
          <w:rFonts w:hint="cs"/>
          <w:rtl/>
        </w:rPr>
        <w:t xml:space="preserve">, השרש של </w:t>
      </w:r>
      <w:r w:rsidRPr="005B6719">
        <w:rPr>
          <w:rFonts w:hint="cs"/>
          <w:b/>
          <w:bCs/>
          <w:sz w:val="28"/>
          <w:szCs w:val="28"/>
          <w:rtl/>
        </w:rPr>
        <w:t>שע</w:t>
      </w:r>
      <w:r>
        <w:rPr>
          <w:rFonts w:hint="cs"/>
          <w:rtl/>
        </w:rPr>
        <w:t xml:space="preserve">, </w:t>
      </w:r>
      <w:r w:rsidRPr="005B6719">
        <w:rPr>
          <w:rFonts w:hint="cs"/>
          <w:b/>
          <w:bCs/>
          <w:sz w:val="28"/>
          <w:szCs w:val="28"/>
          <w:rtl/>
        </w:rPr>
        <w:t>מקוה</w:t>
      </w:r>
      <w:r>
        <w:rPr>
          <w:rFonts w:hint="cs"/>
          <w:rtl/>
        </w:rPr>
        <w:t xml:space="preserve"> </w:t>
      </w:r>
      <w:r w:rsidRPr="002A44F3">
        <w:rPr>
          <w:rFonts w:hint="cs"/>
          <w:b/>
          <w:bCs/>
          <w:sz w:val="28"/>
          <w:szCs w:val="28"/>
          <w:rtl/>
        </w:rPr>
        <w:t>טהרה</w:t>
      </w:r>
      <w:r>
        <w:rPr>
          <w:rFonts w:hint="cs"/>
          <w:rtl/>
        </w:rPr>
        <w:t xml:space="preserve"> פשוט) פעמים </w:t>
      </w:r>
      <w:r w:rsidRPr="005B6719">
        <w:rPr>
          <w:rFonts w:hint="cs"/>
          <w:b/>
          <w:bCs/>
          <w:sz w:val="28"/>
          <w:szCs w:val="28"/>
          <w:rtl/>
        </w:rPr>
        <w:t>יבק</w:t>
      </w:r>
      <w:r>
        <w:rPr>
          <w:rFonts w:hint="cs"/>
          <w:rtl/>
        </w:rPr>
        <w:t xml:space="preserve"> (יחוד השמות </w:t>
      </w:r>
      <w:r w:rsidRPr="005B6719">
        <w:rPr>
          <w:rFonts w:hint="cs"/>
          <w:b/>
          <w:bCs/>
          <w:sz w:val="28"/>
          <w:szCs w:val="28"/>
          <w:rtl/>
        </w:rPr>
        <w:t>אהיה</w:t>
      </w:r>
      <w:r>
        <w:rPr>
          <w:rFonts w:hint="cs"/>
          <w:rtl/>
        </w:rPr>
        <w:t xml:space="preserve"> </w:t>
      </w:r>
      <w:r w:rsidRPr="005B6719">
        <w:rPr>
          <w:rFonts w:hint="cs"/>
          <w:b/>
          <w:bCs/>
          <w:sz w:val="28"/>
          <w:szCs w:val="28"/>
          <w:rtl/>
        </w:rPr>
        <w:t>הוי</w:t>
      </w:r>
      <w:r>
        <w:rPr>
          <w:rFonts w:hint="cs"/>
          <w:rtl/>
        </w:rPr>
        <w:t xml:space="preserve">' </w:t>
      </w:r>
      <w:r w:rsidRPr="005B6719">
        <w:rPr>
          <w:rFonts w:hint="cs"/>
          <w:b/>
          <w:bCs/>
          <w:sz w:val="28"/>
          <w:szCs w:val="28"/>
          <w:rtl/>
        </w:rPr>
        <w:t>א</w:t>
      </w:r>
      <w:r>
        <w:rPr>
          <w:rFonts w:hint="cs"/>
          <w:rtl/>
        </w:rPr>
        <w:t>-</w:t>
      </w:r>
      <w:r w:rsidRPr="005B6719">
        <w:rPr>
          <w:rFonts w:hint="cs"/>
          <w:b/>
          <w:bCs/>
          <w:sz w:val="28"/>
          <w:szCs w:val="28"/>
          <w:rtl/>
        </w:rPr>
        <w:t>דני</w:t>
      </w:r>
      <w:r>
        <w:rPr>
          <w:rFonts w:hint="cs"/>
          <w:rtl/>
        </w:rPr>
        <w:t xml:space="preserve"> הרומזים ליחוד ה"שלשה שותפים" בסוד </w:t>
      </w:r>
      <w:r w:rsidRPr="005B6719">
        <w:rPr>
          <w:rFonts w:hint="cs"/>
          <w:b/>
          <w:bCs/>
          <w:sz w:val="28"/>
          <w:szCs w:val="28"/>
          <w:rtl/>
        </w:rPr>
        <w:t>י</w:t>
      </w:r>
      <w:r>
        <w:rPr>
          <w:rFonts w:hint="cs"/>
          <w:rtl/>
        </w:rPr>
        <w:t>חוד-</w:t>
      </w:r>
      <w:r w:rsidRPr="005B6719">
        <w:rPr>
          <w:rFonts w:hint="cs"/>
          <w:b/>
          <w:bCs/>
          <w:sz w:val="28"/>
          <w:szCs w:val="28"/>
          <w:rtl/>
        </w:rPr>
        <w:t>ב</w:t>
      </w:r>
      <w:r>
        <w:rPr>
          <w:rFonts w:hint="cs"/>
          <w:rtl/>
        </w:rPr>
        <w:t>רכה-</w:t>
      </w:r>
      <w:r w:rsidRPr="005B6719">
        <w:rPr>
          <w:rFonts w:hint="cs"/>
          <w:b/>
          <w:bCs/>
          <w:sz w:val="28"/>
          <w:szCs w:val="28"/>
          <w:rtl/>
        </w:rPr>
        <w:t>ק</w:t>
      </w:r>
      <w:r>
        <w:rPr>
          <w:rFonts w:hint="cs"/>
          <w:rtl/>
        </w:rPr>
        <w:t>דושה</w:t>
      </w:r>
      <w:r w:rsidRPr="005B6719">
        <w:rPr>
          <w:rStyle w:val="a7"/>
        </w:rPr>
        <w:fldChar w:fldCharType="begin"/>
      </w:r>
      <w:r w:rsidRPr="005B6719">
        <w:rPr>
          <w:rStyle w:val="a7"/>
          <w:rtl/>
        </w:rPr>
        <w:instrText xml:space="preserve"> </w:instrText>
      </w:r>
      <w:r w:rsidRPr="005B6719">
        <w:rPr>
          <w:rStyle w:val="a7"/>
          <w:rFonts w:hint="cs"/>
        </w:rPr>
        <w:instrText>NOTEREF</w:instrText>
      </w:r>
      <w:r w:rsidRPr="005B6719">
        <w:rPr>
          <w:rStyle w:val="a7"/>
          <w:rFonts w:hint="cs"/>
          <w:rtl/>
        </w:rPr>
        <w:instrText xml:space="preserve"> _</w:instrText>
      </w:r>
      <w:r w:rsidRPr="005B6719">
        <w:rPr>
          <w:rStyle w:val="a7"/>
          <w:rFonts w:hint="cs"/>
        </w:rPr>
        <w:instrText>Ref300928001 \h</w:instrText>
      </w:r>
      <w:r w:rsidRPr="005B6719">
        <w:rPr>
          <w:rStyle w:val="a7"/>
          <w:rtl/>
        </w:rPr>
        <w:instrText xml:space="preserve"> </w:instrText>
      </w:r>
      <w:r w:rsidRPr="005B6719">
        <w:rPr>
          <w:rStyle w:val="a7"/>
        </w:rPr>
      </w:r>
      <w:r>
        <w:rPr>
          <w:rStyle w:val="a7"/>
        </w:rPr>
        <w:instrText xml:space="preserve"> \* MERGEFORMAT </w:instrText>
      </w:r>
      <w:r>
        <w:rPr>
          <w:rStyle w:val="a7"/>
        </w:rPr>
        <w:fldChar w:fldCharType="separate"/>
      </w:r>
      <w:r>
        <w:rPr>
          <w:rStyle w:val="a7"/>
          <w:rtl/>
        </w:rPr>
        <w:t>טז</w:t>
      </w:r>
      <w:r w:rsidRPr="005B6719">
        <w:rPr>
          <w:rStyle w:val="a7"/>
        </w:rPr>
        <w:fldChar w:fldCharType="end"/>
      </w:r>
      <w:r>
        <w:rPr>
          <w:rFonts w:hint="cs"/>
          <w:rtl/>
        </w:rPr>
        <w:t xml:space="preserve">, וכן הוא יחוד השמות </w:t>
      </w:r>
      <w:r w:rsidRPr="005B6719">
        <w:rPr>
          <w:rFonts w:hint="cs"/>
          <w:b/>
          <w:bCs/>
          <w:sz w:val="28"/>
          <w:szCs w:val="28"/>
          <w:rtl/>
        </w:rPr>
        <w:t>הוי</w:t>
      </w:r>
      <w:r>
        <w:rPr>
          <w:rFonts w:hint="cs"/>
          <w:rtl/>
        </w:rPr>
        <w:t xml:space="preserve">' </w:t>
      </w:r>
      <w:r w:rsidRPr="005B6719">
        <w:rPr>
          <w:rFonts w:hint="cs"/>
          <w:b/>
          <w:bCs/>
          <w:sz w:val="28"/>
          <w:szCs w:val="28"/>
          <w:rtl/>
        </w:rPr>
        <w:t>אלהים</w:t>
      </w:r>
      <w:r>
        <w:rPr>
          <w:rFonts w:hint="cs"/>
          <w:rtl/>
        </w:rPr>
        <w:t xml:space="preserve">, הרומזים בעצמם לז"א ונוקביה). </w:t>
      </w:r>
    </w:p>
    <w:p w:rsidR="005F679C" w:rsidRDefault="005F679C" w:rsidP="005F679C">
      <w:pPr>
        <w:rPr>
          <w:rFonts w:hint="cs"/>
          <w:rtl/>
        </w:rPr>
      </w:pPr>
      <w:r>
        <w:rPr>
          <w:rFonts w:hint="cs"/>
          <w:rtl/>
        </w:rPr>
        <w:t>[ובתנופת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הרמזים: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הידור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מיוחד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(שב"ה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קל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היום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לקיימו)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הוא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הטבילה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במקוה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חב"ד,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שיחודו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העיקרי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הוא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בנייתו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בדרך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של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"בור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על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בור"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(בור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הטבילה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על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גבי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בור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האוצר).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"</w:t>
      </w:r>
      <w:r w:rsidRPr="00D91656">
        <w:rPr>
          <w:rStyle w:val="a4"/>
          <w:rFonts w:hint="cs"/>
          <w:rtl/>
        </w:rPr>
        <w:t>בור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על</w:t>
      </w:r>
      <w:r w:rsidRPr="00D67F80">
        <w:rPr>
          <w:rFonts w:hint="cs"/>
          <w:spacing w:val="23"/>
          <w:rtl/>
        </w:rPr>
        <w:t xml:space="preserve"> </w:t>
      </w:r>
      <w:r w:rsidRPr="00D91656">
        <w:rPr>
          <w:rStyle w:val="a4"/>
          <w:rFonts w:hint="cs"/>
          <w:rtl/>
        </w:rPr>
        <w:t>בור</w:t>
      </w:r>
      <w:r>
        <w:rPr>
          <w:rFonts w:hint="cs"/>
          <w:rtl/>
        </w:rPr>
        <w:t>"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רומז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לעבודה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של</w:t>
      </w:r>
      <w:r w:rsidRPr="00D67F80">
        <w:rPr>
          <w:rFonts w:hint="cs"/>
          <w:spacing w:val="23"/>
          <w:rtl/>
        </w:rPr>
        <w:t xml:space="preserve"> </w:t>
      </w:r>
      <w:r w:rsidRPr="00D91656">
        <w:rPr>
          <w:rStyle w:val="a4"/>
          <w:rFonts w:hint="cs"/>
          <w:rtl/>
        </w:rPr>
        <w:t>בירור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אחר</w:t>
      </w:r>
      <w:r w:rsidRPr="00D67F80">
        <w:rPr>
          <w:rFonts w:hint="cs"/>
          <w:spacing w:val="23"/>
          <w:rtl/>
        </w:rPr>
        <w:t xml:space="preserve"> </w:t>
      </w:r>
      <w:r w:rsidRPr="00D91656">
        <w:rPr>
          <w:rStyle w:val="a4"/>
          <w:rFonts w:hint="cs"/>
          <w:rtl/>
        </w:rPr>
        <w:t>בירור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(בירור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שני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לאחר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בירור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ראשון</w:t>
      </w:r>
      <w:r w:rsidRPr="008636EE">
        <w:rPr>
          <w:rStyle w:val="a3"/>
          <w:rtl/>
        </w:rPr>
        <w:endnoteReference w:id="17"/>
      </w:r>
      <w:r>
        <w:rPr>
          <w:rFonts w:hint="cs"/>
          <w:rtl/>
        </w:rPr>
        <w:t>,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בירור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דאור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חוזר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לאחר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בירור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דאור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ישר</w:t>
      </w:r>
      <w:r w:rsidRPr="008636EE">
        <w:rPr>
          <w:rStyle w:val="a3"/>
          <w:rtl/>
        </w:rPr>
        <w:endnoteReference w:id="18"/>
      </w:r>
      <w:r>
        <w:rPr>
          <w:rFonts w:hint="cs"/>
          <w:rtl/>
        </w:rPr>
        <w:t>)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המסוגלת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להמשכת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נשמות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גבוהות.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והנה,</w:t>
      </w:r>
      <w:r w:rsidRPr="00D67F80">
        <w:rPr>
          <w:rFonts w:hint="cs"/>
          <w:spacing w:val="23"/>
          <w:rtl/>
        </w:rPr>
        <w:t xml:space="preserve"> </w:t>
      </w:r>
      <w:r w:rsidRPr="00476ED2">
        <w:rPr>
          <w:rFonts w:hint="cs"/>
          <w:b/>
          <w:bCs/>
          <w:sz w:val="28"/>
          <w:szCs w:val="28"/>
          <w:rtl/>
        </w:rPr>
        <w:t>מקוה</w:t>
      </w:r>
      <w:r w:rsidRPr="00D67F80">
        <w:rPr>
          <w:rFonts w:hint="cs"/>
          <w:spacing w:val="23"/>
          <w:rtl/>
        </w:rPr>
        <w:t xml:space="preserve"> </w:t>
      </w:r>
      <w:r w:rsidRPr="00476ED2">
        <w:rPr>
          <w:rFonts w:hint="cs"/>
          <w:b/>
          <w:bCs/>
          <w:sz w:val="28"/>
          <w:szCs w:val="28"/>
          <w:rtl/>
        </w:rPr>
        <w:t>חב</w:t>
      </w:r>
      <w:r>
        <w:rPr>
          <w:rFonts w:hint="cs"/>
          <w:rtl/>
        </w:rPr>
        <w:t>"</w:t>
      </w:r>
      <w:r w:rsidRPr="00476ED2">
        <w:rPr>
          <w:rFonts w:hint="cs"/>
          <w:b/>
          <w:bCs/>
          <w:sz w:val="28"/>
          <w:szCs w:val="28"/>
          <w:rtl/>
        </w:rPr>
        <w:t>ד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עולה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בגימטריא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"</w:t>
      </w:r>
      <w:r w:rsidRPr="00476ED2">
        <w:rPr>
          <w:rFonts w:hint="cs"/>
          <w:b/>
          <w:bCs/>
          <w:sz w:val="28"/>
          <w:szCs w:val="28"/>
          <w:rtl/>
        </w:rPr>
        <w:t>בטח</w:t>
      </w:r>
      <w:r w:rsidRPr="00D67F80">
        <w:rPr>
          <w:rFonts w:hint="cs"/>
          <w:spacing w:val="23"/>
          <w:rtl/>
        </w:rPr>
        <w:t xml:space="preserve"> </w:t>
      </w:r>
      <w:r w:rsidRPr="00476ED2">
        <w:rPr>
          <w:rFonts w:hint="cs"/>
          <w:b/>
          <w:bCs/>
          <w:sz w:val="28"/>
          <w:szCs w:val="28"/>
          <w:rtl/>
        </w:rPr>
        <w:t>בה</w:t>
      </w:r>
      <w:r w:rsidRPr="00D67F80">
        <w:rPr>
          <w:rFonts w:hint="cs"/>
          <w:spacing w:val="23"/>
          <w:rtl/>
        </w:rPr>
        <w:t xml:space="preserve"> </w:t>
      </w:r>
      <w:r w:rsidRPr="00476ED2">
        <w:rPr>
          <w:rFonts w:hint="cs"/>
          <w:b/>
          <w:bCs/>
          <w:sz w:val="28"/>
          <w:szCs w:val="28"/>
          <w:rtl/>
        </w:rPr>
        <w:t>לב</w:t>
      </w:r>
      <w:r w:rsidRPr="00D67F80">
        <w:rPr>
          <w:rFonts w:hint="cs"/>
          <w:spacing w:val="23"/>
          <w:rtl/>
        </w:rPr>
        <w:t xml:space="preserve"> </w:t>
      </w:r>
      <w:r w:rsidRPr="00476ED2">
        <w:rPr>
          <w:rFonts w:hint="cs"/>
          <w:b/>
          <w:bCs/>
          <w:sz w:val="28"/>
          <w:szCs w:val="28"/>
          <w:rtl/>
        </w:rPr>
        <w:t>בעלה</w:t>
      </w:r>
      <w:r>
        <w:rPr>
          <w:rFonts w:hint="cs"/>
          <w:rtl/>
        </w:rPr>
        <w:t>"</w:t>
      </w:r>
      <w:r w:rsidRPr="008636EE">
        <w:rPr>
          <w:rStyle w:val="a3"/>
          <w:rtl/>
        </w:rPr>
        <w:endnoteReference w:id="19"/>
      </w:r>
      <w:r>
        <w:rPr>
          <w:rFonts w:hint="cs"/>
          <w:rtl/>
        </w:rPr>
        <w:t>.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"בטח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לב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בעלה"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הוא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הביטוי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היחיד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ב"אשת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חיל"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המתאר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את</w:t>
      </w:r>
      <w:r w:rsidRPr="00D67F80">
        <w:rPr>
          <w:rFonts w:hint="cs"/>
          <w:spacing w:val="23"/>
          <w:rtl/>
        </w:rPr>
        <w:t xml:space="preserve"> </w:t>
      </w:r>
      <w:r w:rsidRPr="00D91656">
        <w:rPr>
          <w:rStyle w:val="a4"/>
          <w:rFonts w:hint="cs"/>
          <w:rtl/>
        </w:rPr>
        <w:t>הרגש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שהבעל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רוחש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לאשתו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(כאשר</w:t>
      </w:r>
      <w:r w:rsidRPr="00D67F80">
        <w:rPr>
          <w:rFonts w:hint="cs"/>
          <w:spacing w:val="23"/>
          <w:rtl/>
        </w:rPr>
        <w:t xml:space="preserve"> </w:t>
      </w:r>
      <w:r w:rsidRPr="00D91656">
        <w:rPr>
          <w:rStyle w:val="a4"/>
          <w:rFonts w:hint="cs"/>
          <w:rtl/>
        </w:rPr>
        <w:t>הפעולה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היחידה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שלו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המתוארת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שם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היא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"בעלה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ויהללה"</w:t>
      </w:r>
      <w:r w:rsidRPr="008636EE">
        <w:rPr>
          <w:rStyle w:val="a3"/>
          <w:rtl/>
        </w:rPr>
        <w:endnoteReference w:id="20"/>
      </w:r>
      <w:r>
        <w:rPr>
          <w:rFonts w:hint="cs"/>
          <w:rtl/>
        </w:rPr>
        <w:t>).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כלומר,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כל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פעולות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האשה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המתוארות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ב"אשת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חיל",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בביתה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פנימה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ומחוצה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לו,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נועדו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להגביר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את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הבטחון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של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אישה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בה.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לפי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הרמז,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ההידור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בטבילה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</w:t>
      </w:r>
      <w:r w:rsidRPr="00F974C1">
        <w:rPr>
          <w:rFonts w:hint="cs"/>
          <w:rtl/>
        </w:rPr>
        <w:t>מקוה</w:t>
      </w:r>
      <w:r w:rsidRPr="00D67F80">
        <w:rPr>
          <w:rFonts w:hint="cs"/>
          <w:spacing w:val="23"/>
          <w:sz w:val="24"/>
          <w:szCs w:val="24"/>
          <w:rtl/>
        </w:rPr>
        <w:t xml:space="preserve"> </w:t>
      </w:r>
      <w:r w:rsidRPr="00F974C1">
        <w:rPr>
          <w:rFonts w:hint="cs"/>
          <w:rtl/>
        </w:rPr>
        <w:t>חב</w:t>
      </w:r>
      <w:r>
        <w:rPr>
          <w:rFonts w:hint="cs"/>
          <w:rtl/>
        </w:rPr>
        <w:t>"</w:t>
      </w:r>
      <w:r w:rsidRPr="00F974C1">
        <w:rPr>
          <w:rFonts w:hint="cs"/>
          <w:rtl/>
        </w:rPr>
        <w:t>ד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דווקא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מחזק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את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הבטחון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של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האיש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באשתו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וממילא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מגביר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את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דבקותם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(בטח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לשון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טיחה</w:t>
      </w:r>
      <w:r w:rsidRPr="008636EE">
        <w:rPr>
          <w:rStyle w:val="a3"/>
          <w:rtl/>
        </w:rPr>
        <w:endnoteReference w:id="21"/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ודבקות)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זה</w:t>
      </w:r>
      <w:r w:rsidRPr="00D67F80">
        <w:rPr>
          <w:rFonts w:hint="cs"/>
          <w:spacing w:val="23"/>
          <w:rtl/>
        </w:rPr>
        <w:t xml:space="preserve"> </w:t>
      </w:r>
      <w:r>
        <w:rPr>
          <w:rFonts w:hint="cs"/>
          <w:rtl/>
        </w:rPr>
        <w:t>בזו.]</w:t>
      </w:r>
    </w:p>
    <w:p w:rsidR="005F4A47" w:rsidRDefault="006C68F1">
      <w:bookmarkStart w:id="1" w:name="_GoBack"/>
      <w:bookmarkEnd w:id="1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8F1" w:rsidRDefault="006C68F1" w:rsidP="005F679C">
      <w:pPr>
        <w:spacing w:after="0" w:line="240" w:lineRule="auto"/>
      </w:pPr>
      <w:r>
        <w:separator/>
      </w:r>
    </w:p>
  </w:endnote>
  <w:endnote w:type="continuationSeparator" w:id="0">
    <w:p w:rsidR="006C68F1" w:rsidRDefault="006C68F1" w:rsidP="005F679C">
      <w:pPr>
        <w:spacing w:after="0" w:line="240" w:lineRule="auto"/>
      </w:pPr>
      <w:r>
        <w:continuationSeparator/>
      </w:r>
    </w:p>
  </w:endnote>
  <w:endnote w:id="1">
    <w:p w:rsidR="005F679C" w:rsidRDefault="005F679C" w:rsidP="005F67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גם בשתי התורות הקודמות.</w:t>
      </w:r>
    </w:p>
  </w:endnote>
  <w:endnote w:id="2">
    <w:p w:rsidR="005F679C" w:rsidRDefault="005F679C" w:rsidP="005F67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עמק המלך שי"א פ"ח. </w:t>
      </w:r>
      <w:r w:rsidRPr="00993AC5">
        <w:rPr>
          <w:rtl/>
        </w:rPr>
        <w:t>ביאורי הזהר לצמח צדק ח"ב עמ' תתקלט ואילך.</w:t>
      </w:r>
    </w:p>
  </w:endnote>
  <w:endnote w:id="3">
    <w:p w:rsidR="005F679C" w:rsidRDefault="005F679C" w:rsidP="005F67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קהלת יעקב ערך מקוה.</w:t>
      </w:r>
    </w:p>
  </w:endnote>
  <w:endnote w:id="4">
    <w:p w:rsidR="005F679C" w:rsidRDefault="005F679C" w:rsidP="005F67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כתר שם טוב (הוצאת קה"ת) ב. וראה גם לעיל בתורה "לב טהור ברא לי".</w:t>
      </w:r>
    </w:p>
  </w:endnote>
  <w:endnote w:id="5">
    <w:p w:rsidR="005F679C" w:rsidRDefault="005F679C" w:rsidP="005F67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ויקרא טז, ל (וראה גם בתורה הקודמת).</w:t>
      </w:r>
    </w:p>
  </w:endnote>
  <w:endnote w:id="6">
    <w:p w:rsidR="005F679C" w:rsidRDefault="005F679C" w:rsidP="005F67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לקו"ת אחרי מות (ובפרט שם כו, ג; כח, ב).</w:t>
      </w:r>
    </w:p>
  </w:endnote>
  <w:endnote w:id="7">
    <w:p w:rsidR="005F679C" w:rsidRDefault="005F679C" w:rsidP="005F67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רמ"ז לזהר ח"ג סו, א.</w:t>
      </w:r>
    </w:p>
  </w:endnote>
  <w:endnote w:id="8">
    <w:p w:rsidR="005F679C" w:rsidRDefault="005F679C" w:rsidP="005F67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זהר ח"ג קעח, א ועוד; פרי עץ חיים שער הק"ש פט"ו.</w:t>
      </w:r>
    </w:p>
  </w:endnote>
  <w:endnote w:id="9">
    <w:p w:rsidR="005F679C" w:rsidRDefault="005F679C" w:rsidP="005F67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תו"א פ, ב (ובריבוי מקומות בדא"ח), שיעורים בסוד הוי' ליראיו ח"א עמ' קמח-קנ.</w:t>
      </w:r>
    </w:p>
  </w:endnote>
  <w:endnote w:id="10">
    <w:p w:rsidR="005F679C" w:rsidRDefault="005F679C" w:rsidP="005F67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תניא פרק א.</w:t>
      </w:r>
    </w:p>
  </w:endnote>
  <w:endnote w:id="11">
    <w:p w:rsidR="005F679C" w:rsidRDefault="005F679C" w:rsidP="005F67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בתורה הקודמת והנסמן שם הערה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NOTEREF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Ref301918602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יז</w:t>
      </w:r>
      <w:r>
        <w:rPr>
          <w:rtl/>
        </w:rPr>
        <w:fldChar w:fldCharType="end"/>
      </w:r>
      <w:r>
        <w:rPr>
          <w:rFonts w:hint="cs"/>
          <w:rtl/>
        </w:rPr>
        <w:t>.</w:t>
      </w:r>
    </w:p>
  </w:endnote>
  <w:endnote w:id="12">
    <w:p w:rsidR="005F679C" w:rsidRDefault="005F679C" w:rsidP="005F67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שבת כא, ב.</w:t>
      </w:r>
    </w:p>
  </w:endnote>
  <w:endnote w:id="13">
    <w:p w:rsidR="005F679C" w:rsidRDefault="005F679C" w:rsidP="005F67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וכמטמונים תחפשנה ח"א עמ' נו הערה סא וחסדי דוד הנאמנים ח"ה עמ' 8-9.</w:t>
      </w:r>
    </w:p>
  </w:endnote>
  <w:endnote w:id="14">
    <w:p w:rsidR="005F679C" w:rsidRDefault="005F679C" w:rsidP="005F67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זהר ח"ג צז, ב. (וראה גם לעיל בתורה "ארץ יראה ושקטה").</w:t>
      </w:r>
    </w:p>
  </w:endnote>
  <w:endnote w:id="15">
    <w:p w:rsidR="005F679C" w:rsidRDefault="005F679C" w:rsidP="005F67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שמות ג, טו.</w:t>
      </w:r>
    </w:p>
  </w:endnote>
  <w:endnote w:id="16">
    <w:p w:rsidR="005F679C" w:rsidRDefault="005F679C" w:rsidP="005F67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שער ו בתורה "יחוד, ברכה, קדושה".</w:t>
      </w:r>
    </w:p>
  </w:endnote>
  <w:endnote w:id="17">
    <w:p w:rsidR="005F679C" w:rsidRDefault="005F679C" w:rsidP="005F67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r>
        <w:rPr>
          <w:rtl/>
        </w:rPr>
        <w:t>לקו"ת צו ז, ג. מאמרי אדמו"ר הזקן תקע"א שם ע' קסד</w:t>
      </w:r>
      <w:r>
        <w:t>.</w:t>
      </w:r>
    </w:p>
  </w:endnote>
  <w:endnote w:id="18">
    <w:p w:rsidR="005F679C" w:rsidRDefault="005F679C" w:rsidP="005F67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שערי תשובה לאדהאמ"צ קיט, ד.</w:t>
      </w:r>
    </w:p>
  </w:endnote>
  <w:endnote w:id="19">
    <w:p w:rsidR="005F679C" w:rsidRDefault="005F679C" w:rsidP="005F67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משלי לא, יא.</w:t>
      </w:r>
    </w:p>
  </w:endnote>
  <w:endnote w:id="20">
    <w:p w:rsidR="005F679C" w:rsidRDefault="005F679C" w:rsidP="005F679C">
      <w:pPr>
        <w:pStyle w:val="a5"/>
        <w:rPr>
          <w:rFonts w:hint="cs"/>
          <w:rtl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שם פסוק כח.</w:t>
      </w:r>
    </w:p>
  </w:endnote>
  <w:endnote w:id="21">
    <w:p w:rsidR="005F679C" w:rsidRDefault="005F679C" w:rsidP="005F679C">
      <w:pPr>
        <w:pStyle w:val="a5"/>
        <w:rPr>
          <w:rFonts w:hint="cs"/>
        </w:rPr>
      </w:pPr>
      <w:r>
        <w:rPr>
          <w:rtl/>
        </w:rPr>
        <w:tab/>
      </w:r>
      <w:r w:rsidRPr="00944A81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באורי הזהר ריש פרשת וארא וראה לב לדעת עמ' נו-נז.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rFrank">
    <w:altName w:val="Courier New"/>
    <w:charset w:val="00"/>
    <w:family w:val="auto"/>
    <w:pitch w:val="variable"/>
    <w:sig w:usb0="00000000" w:usb1="5000004A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8F1" w:rsidRDefault="006C68F1" w:rsidP="005F679C">
      <w:pPr>
        <w:spacing w:after="0" w:line="240" w:lineRule="auto"/>
      </w:pPr>
      <w:r>
        <w:separator/>
      </w:r>
    </w:p>
  </w:footnote>
  <w:footnote w:type="continuationSeparator" w:id="0">
    <w:p w:rsidR="006C68F1" w:rsidRDefault="006C68F1" w:rsidP="005F6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FA"/>
    <w:rsid w:val="000523FA"/>
    <w:rsid w:val="00061E65"/>
    <w:rsid w:val="005F679C"/>
    <w:rsid w:val="006C68F1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5F679C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5F679C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5F679C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5F679C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5F679C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5F679C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5F679C"/>
    <w:rPr>
      <w:rFonts w:ascii="Times New Roman" w:eastAsia="Times New Roman" w:hAnsi="Times New Roman" w:cs="oprFrank"/>
      <w:sz w:val="20"/>
      <w:szCs w:val="23"/>
      <w:lang w:eastAsia="he-IL"/>
    </w:rPr>
  </w:style>
  <w:style w:type="character" w:styleId="a7">
    <w:name w:val="endnote reference"/>
    <w:aliases w:val="Endnote Reference"/>
    <w:basedOn w:val="a3"/>
    <w:semiHidden/>
    <w:rsid w:val="005F679C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5F679C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5F679C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5F679C"/>
    <w:pPr>
      <w:bidi/>
      <w:spacing w:after="120" w:line="380" w:lineRule="exact"/>
      <w:jc w:val="both"/>
    </w:pPr>
    <w:rPr>
      <w:rFonts w:ascii="Times New Roman" w:eastAsia="Times New Roman" w:hAnsi="Times New Roman" w:cs="oprFrank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5F679C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5F679C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styleId="a3">
    <w:name w:val="footnote reference"/>
    <w:aliases w:val="Footnote Reference"/>
    <w:basedOn w:val="a0"/>
    <w:semiHidden/>
    <w:rsid w:val="005F679C"/>
    <w:rPr>
      <w:noProof/>
      <w:position w:val="-4"/>
      <w:szCs w:val="26"/>
      <w:vertAlign w:val="superscript"/>
    </w:rPr>
  </w:style>
  <w:style w:type="character" w:customStyle="1" w:styleId="a4">
    <w:name w:val="מרים"/>
    <w:basedOn w:val="a0"/>
    <w:rsid w:val="005F679C"/>
    <w:rPr>
      <w:rFonts w:cs="MiriamMFO"/>
      <w:w w:val="100"/>
      <w:sz w:val="21"/>
      <w:szCs w:val="23"/>
    </w:rPr>
  </w:style>
  <w:style w:type="paragraph" w:styleId="a5">
    <w:name w:val="endnote text"/>
    <w:aliases w:val="Endnote Text"/>
    <w:basedOn w:val="a"/>
    <w:link w:val="a6"/>
    <w:semiHidden/>
    <w:rsid w:val="005F679C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6">
    <w:name w:val="טקסט הערת סיום תו"/>
    <w:basedOn w:val="a0"/>
    <w:link w:val="a5"/>
    <w:semiHidden/>
    <w:rsid w:val="005F679C"/>
    <w:rPr>
      <w:rFonts w:ascii="Times New Roman" w:eastAsia="Times New Roman" w:hAnsi="Times New Roman" w:cs="oprFrank"/>
      <w:sz w:val="20"/>
      <w:szCs w:val="23"/>
      <w:lang w:eastAsia="he-IL"/>
    </w:rPr>
  </w:style>
  <w:style w:type="character" w:styleId="a7">
    <w:name w:val="endnote reference"/>
    <w:aliases w:val="Endnote Reference"/>
    <w:basedOn w:val="a3"/>
    <w:semiHidden/>
    <w:rsid w:val="005F679C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5F679C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5F679C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2017-08-16T10:37:00Z</dcterms:created>
  <dcterms:modified xsi:type="dcterms:W3CDTF">2017-08-16T10:38:00Z</dcterms:modified>
</cp:coreProperties>
</file>