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70" w:rsidRDefault="00065770" w:rsidP="00065770">
      <w:pPr>
        <w:pStyle w:val="2"/>
        <w:rPr>
          <w:rFonts w:hint="cs"/>
          <w:rtl/>
        </w:rPr>
      </w:pPr>
      <w:r>
        <w:rPr>
          <w:rFonts w:hint="cs"/>
          <w:rtl/>
        </w:rPr>
        <w:t>שערי טבילה</w:t>
      </w:r>
    </w:p>
    <w:p w:rsidR="00065770" w:rsidRPr="002E2CC9" w:rsidRDefault="00065770" w:rsidP="00065770">
      <w:pPr>
        <w:keepNext/>
        <w:framePr w:dropCap="drop" w:lines="2" w:hSpace="57" w:wrap="around" w:vAnchor="text" w:hAnchor="text" w:xAlign="right"/>
        <w:spacing w:after="0" w:line="760" w:lineRule="exact"/>
        <w:textAlignment w:val="baseline"/>
        <w:rPr>
          <w:rStyle w:val="a8"/>
          <w:rtl/>
        </w:rPr>
      </w:pPr>
      <w:r w:rsidRPr="002E2CC9">
        <w:rPr>
          <w:rStyle w:val="a8"/>
          <w:rFonts w:hint="cs"/>
          <w:rtl/>
        </w:rPr>
        <w:t>ה</w:t>
      </w:r>
    </w:p>
    <w:p w:rsidR="00065770" w:rsidRDefault="00065770" w:rsidP="00065770">
      <w:pPr>
        <w:widowControl w:val="0"/>
        <w:rPr>
          <w:rFonts w:hint="cs"/>
          <w:rtl/>
        </w:rPr>
      </w:pPr>
      <w:r>
        <w:rPr>
          <w:rFonts w:hint="cs"/>
          <w:rtl/>
        </w:rPr>
        <w:t>גמרא</w:t>
      </w:r>
      <w:r w:rsidRPr="008636EE">
        <w:rPr>
          <w:rStyle w:val="a3"/>
          <w:rtl/>
        </w:rPr>
        <w:endnoteReference w:id="1"/>
      </w:r>
      <w:r>
        <w:rPr>
          <w:rFonts w:hint="cs"/>
          <w:rtl/>
        </w:rPr>
        <w:t xml:space="preserve"> מספרת על שנים מחכמי ישראל שהיו נוהגים לשבת בשערי טבילה כאשר באו הנשים לטבול. רב גידל נהג לשבת בשערי טבילה כדי להדריך את הנשים הבאות לטבול באופן דייקני כיצד יש לקיים טבילת מצוה הלכה למעשה </w:t>
      </w:r>
      <w:r>
        <w:rPr>
          <w:rtl/>
        </w:rPr>
        <w:t>–</w:t>
      </w:r>
      <w:r>
        <w:rPr>
          <w:rFonts w:hint="cs"/>
          <w:rtl/>
        </w:rPr>
        <w:t xml:space="preserve"> "הכי טבילו והכי טבילו" (ועל דרך זה מסופר</w:t>
      </w:r>
      <w:r w:rsidRPr="008636EE">
        <w:rPr>
          <w:rStyle w:val="a3"/>
          <w:rtl/>
        </w:rPr>
        <w:endnoteReference w:id="2"/>
      </w:r>
      <w:r>
        <w:rPr>
          <w:rFonts w:hint="cs"/>
          <w:rtl/>
        </w:rPr>
        <w:t xml:space="preserve"> כיצד הדריך אדמו"ר הצמח צדק את כלותיו בפרטות אודות סדר הטבילה בהידור מיוחד של 'טבילת דג'). רבי יוחנן, שהיה מפורסם ביפיו</w:t>
      </w:r>
      <w:r w:rsidRPr="008636EE">
        <w:rPr>
          <w:rStyle w:val="a3"/>
          <w:rtl/>
        </w:rPr>
        <w:endnoteReference w:id="3"/>
      </w:r>
      <w:r>
        <w:rPr>
          <w:rFonts w:hint="cs"/>
          <w:rtl/>
        </w:rPr>
        <w:t xml:space="preserve">, נהג לשבת בשערי טבילה כדי שהנשים היוצאות מהטבילה תראינה אותו ותזכינה לבנים יפים כמותו </w:t>
      </w:r>
      <w:r>
        <w:rPr>
          <w:rtl/>
        </w:rPr>
        <w:t>–</w:t>
      </w:r>
      <w:r>
        <w:rPr>
          <w:rFonts w:hint="cs"/>
          <w:rtl/>
        </w:rPr>
        <w:t xml:space="preserve"> "כי סלקן בנות ישראל ואתיין מטבילה מסתכלן בי ונהוי להו זרעא דשפירי כוותי" (ומכאן מקור מובהק לכך שיש להסתכל בדמותו של צדיק ולצייר את פניו במחשבה בעת היחוד כדי לזכות לבנים צדיקים</w:t>
      </w:r>
      <w:r w:rsidRPr="008636EE">
        <w:rPr>
          <w:rStyle w:val="a3"/>
          <w:rtl/>
        </w:rPr>
        <w:endnoteReference w:id="4"/>
      </w:r>
      <w:r>
        <w:rPr>
          <w:rFonts w:hint="cs"/>
          <w:rtl/>
        </w:rPr>
        <w:t>).</w:t>
      </w:r>
    </w:p>
    <w:p w:rsidR="00065770" w:rsidRDefault="00065770" w:rsidP="00065770">
      <w:pPr>
        <w:widowControl w:val="0"/>
        <w:rPr>
          <w:rFonts w:hint="cs"/>
          <w:rtl/>
        </w:rPr>
      </w:pPr>
      <w:r>
        <w:rPr>
          <w:rFonts w:hint="cs"/>
          <w:rtl/>
        </w:rPr>
        <w:t>במקום נוסף</w:t>
      </w:r>
      <w:r w:rsidRPr="008636EE">
        <w:rPr>
          <w:rStyle w:val="a3"/>
          <w:rtl/>
        </w:rPr>
        <w:endnoteReference w:id="5"/>
      </w:r>
      <w:r>
        <w:rPr>
          <w:rFonts w:hint="cs"/>
          <w:rtl/>
        </w:rPr>
        <w:t xml:space="preserve"> מסופר כי רבי יוחנן הוסיף שעל ידי ההסתכלות בו יהיו הילדים יפים וגם תלמידי חכמים </w:t>
      </w:r>
      <w:r>
        <w:rPr>
          <w:rtl/>
        </w:rPr>
        <w:t>–</w:t>
      </w:r>
      <w:r>
        <w:rPr>
          <w:rFonts w:hint="cs"/>
          <w:rtl/>
        </w:rPr>
        <w:t xml:space="preserve"> "</w:t>
      </w:r>
      <w:r>
        <w:rPr>
          <w:rtl/>
        </w:rPr>
        <w:t>רבי יוחנן הוה אזיל ויתיב אשערי טבילה אמר כי סלקן בנות ישראל מטבילת מצוה לפגעו בי כי היכי דלהוו להו בני שפירי כוותי גמירי אורייתא</w:t>
      </w:r>
      <w:r>
        <w:rPr>
          <w:rFonts w:hint="cs"/>
          <w:rtl/>
        </w:rPr>
        <w:t xml:space="preserve"> כוותי" (הקדמת היפי ללימוד התורה</w:t>
      </w:r>
      <w:bookmarkStart w:id="0" w:name="_Ref301954323"/>
      <w:r w:rsidRPr="008636EE">
        <w:rPr>
          <w:rStyle w:val="a3"/>
          <w:rtl/>
        </w:rPr>
        <w:endnoteReference w:id="6"/>
      </w:r>
      <w:bookmarkEnd w:id="0"/>
      <w:r>
        <w:rPr>
          <w:rFonts w:hint="cs"/>
          <w:rtl/>
        </w:rPr>
        <w:t>, שכלל לא הופיע בסוגיא המקבילה, היא בבחינת "דרך ארץ קדמה לתורה"</w:t>
      </w:r>
      <w:r w:rsidRPr="008636EE">
        <w:rPr>
          <w:rStyle w:val="a3"/>
          <w:rtl/>
        </w:rPr>
        <w:endnoteReference w:id="7"/>
      </w:r>
      <w:r>
        <w:rPr>
          <w:rFonts w:hint="cs"/>
          <w:rtl/>
        </w:rPr>
        <w:t>). אחת מתופעות הגלות היא הפיצול בין היפי והחכמה</w:t>
      </w:r>
      <w:r w:rsidRPr="008636EE">
        <w:rPr>
          <w:rStyle w:val="a3"/>
          <w:rtl/>
        </w:rPr>
        <w:endnoteReference w:id="8"/>
      </w:r>
      <w:r>
        <w:rPr>
          <w:rFonts w:hint="cs"/>
          <w:rtl/>
        </w:rPr>
        <w:t>, הניכר במיוחד אצל נשים (שנושא היפי חשוב ועיקרי אצלן</w:t>
      </w:r>
      <w:r w:rsidRPr="008636EE">
        <w:rPr>
          <w:rStyle w:val="a3"/>
          <w:rtl/>
        </w:rPr>
        <w:endnoteReference w:id="9"/>
      </w:r>
      <w:r>
        <w:rPr>
          <w:rFonts w:hint="cs"/>
          <w:rtl/>
        </w:rPr>
        <w:t>). כל אחת מאמותינו הקדושות, בעלות החכמה האלקית ויראת השמים, היתה גם יפהפיה</w:t>
      </w:r>
      <w:r w:rsidRPr="008636EE">
        <w:rPr>
          <w:rStyle w:val="a3"/>
          <w:rtl/>
        </w:rPr>
        <w:endnoteReference w:id="10"/>
      </w:r>
      <w:r>
        <w:rPr>
          <w:rFonts w:hint="cs"/>
          <w:rtl/>
        </w:rPr>
        <w:t>, אך בעת הגלות פעמים רבות יש פיצול בין היפי החיצוני הגלוי והיפי הפנימי של החכמה ויראת השמים (עד שהרבי מליובאוויטש צריך להדריך במכתביו</w:t>
      </w:r>
      <w:r w:rsidRPr="008636EE">
        <w:rPr>
          <w:rStyle w:val="a3"/>
          <w:rtl/>
        </w:rPr>
        <w:endnoteReference w:id="11"/>
      </w:r>
      <w:r>
        <w:rPr>
          <w:rFonts w:hint="cs"/>
          <w:rtl/>
        </w:rPr>
        <w:t xml:space="preserve"> בעניני שידוכים כי בעולם הזה אין שלמות ויש להעדיף את העיקר על הטפל, דהיינו את החכמה ויראת השמים על היפי החיצוני). מדברי רבי יוחנן על בנים יפים ועוסקים בתורה עולה כי יש בטבילת המצוה, שבעקבותיה זוכים </w:t>
      </w:r>
      <w:r>
        <w:rPr>
          <w:rFonts w:hint="cs"/>
          <w:rtl/>
        </w:rPr>
        <w:lastRenderedPageBreak/>
        <w:t>לחזות בפני הצדיק-היפה, סגולה לאחד מחדש את החכמה והיפי (כאשר ה</w:t>
      </w:r>
      <w:r w:rsidRPr="007F6640">
        <w:rPr>
          <w:rFonts w:hint="cs"/>
          <w:b/>
          <w:bCs/>
          <w:sz w:val="28"/>
          <w:szCs w:val="28"/>
          <w:rtl/>
        </w:rPr>
        <w:t>חכמה</w:t>
      </w:r>
      <w:r>
        <w:rPr>
          <w:rFonts w:hint="cs"/>
          <w:rtl/>
        </w:rPr>
        <w:t xml:space="preserve"> הפנימית נובעת דווקא מה</w:t>
      </w:r>
      <w:r w:rsidRPr="007F6640">
        <w:rPr>
          <w:rFonts w:hint="cs"/>
          <w:b/>
          <w:bCs/>
          <w:sz w:val="28"/>
          <w:szCs w:val="28"/>
          <w:rtl/>
        </w:rPr>
        <w:t>יפי</w:t>
      </w:r>
      <w:r>
        <w:rPr>
          <w:rFonts w:hint="cs"/>
          <w:rtl/>
        </w:rPr>
        <w:t xml:space="preserve"> החיצוני, כנ"ל, והוא סוד "</w:t>
      </w:r>
      <w:r w:rsidRPr="007F6640">
        <w:rPr>
          <w:rFonts w:hint="cs"/>
          <w:b/>
          <w:bCs/>
          <w:sz w:val="28"/>
          <w:szCs w:val="28"/>
          <w:rtl/>
        </w:rPr>
        <w:t>גל</w:t>
      </w:r>
      <w:r>
        <w:rPr>
          <w:rFonts w:hint="cs"/>
          <w:rtl/>
        </w:rPr>
        <w:t xml:space="preserve"> </w:t>
      </w:r>
      <w:r w:rsidRPr="007F6640">
        <w:rPr>
          <w:rFonts w:hint="cs"/>
          <w:b/>
          <w:bCs/>
          <w:sz w:val="28"/>
          <w:szCs w:val="28"/>
          <w:rtl/>
        </w:rPr>
        <w:t>עיני</w:t>
      </w:r>
      <w:r>
        <w:rPr>
          <w:rFonts w:hint="cs"/>
          <w:rtl/>
        </w:rPr>
        <w:t xml:space="preserve"> ואביטה נפלאות מתורתך"</w:t>
      </w:r>
      <w:r w:rsidRPr="008636EE">
        <w:rPr>
          <w:rStyle w:val="a3"/>
          <w:rtl/>
        </w:rPr>
        <w:endnoteReference w:id="12"/>
      </w:r>
      <w:r>
        <w:rPr>
          <w:rFonts w:hint="cs"/>
          <w:rtl/>
        </w:rPr>
        <w:t>).</w:t>
      </w:r>
    </w:p>
    <w:p w:rsidR="00065770" w:rsidRDefault="00065770" w:rsidP="00065770">
      <w:pPr>
        <w:widowControl w:val="0"/>
        <w:rPr>
          <w:rFonts w:hint="cs"/>
          <w:rtl/>
        </w:rPr>
      </w:pPr>
      <w:r>
        <w:rPr>
          <w:rFonts w:hint="cs"/>
          <w:rtl/>
        </w:rPr>
        <w:t>בהמשך מספרת הגמרא כי את רב גידל, שפנה אל הנשים והדריך אותן, שאלו אם אינו חושש מיצר הרע ואת רבי יוחנן, שנראה לעיני הנשים, שאלו אם אינו חושש מעין הרע. כל אחד מהם השיב מה שהשיב, כמפורש שם בגמרא, אך יש להוסיף שאלה כללית, הנוגעת לשניהם: האם אין פגם בצניעות בישיבתם על שערי הטבילה? בדרך רמז יש לענות כי "</w:t>
      </w:r>
      <w:r w:rsidRPr="000F124B">
        <w:rPr>
          <w:rFonts w:hint="cs"/>
          <w:b/>
          <w:bCs/>
          <w:sz w:val="28"/>
          <w:szCs w:val="28"/>
          <w:rtl/>
        </w:rPr>
        <w:t>שער</w:t>
      </w:r>
      <w:r>
        <w:rPr>
          <w:rFonts w:hint="cs"/>
          <w:rtl/>
        </w:rPr>
        <w:t xml:space="preserve"> </w:t>
      </w:r>
      <w:r w:rsidRPr="000F124B">
        <w:rPr>
          <w:rFonts w:hint="cs"/>
          <w:b/>
          <w:bCs/>
          <w:sz w:val="28"/>
          <w:szCs w:val="28"/>
          <w:rtl/>
        </w:rPr>
        <w:t>טבילה</w:t>
      </w:r>
      <w:r>
        <w:rPr>
          <w:rFonts w:hint="cs"/>
          <w:rtl/>
        </w:rPr>
        <w:t xml:space="preserve">" בגימטריא </w:t>
      </w:r>
      <w:r w:rsidRPr="000F124B">
        <w:rPr>
          <w:rFonts w:hint="cs"/>
          <w:b/>
          <w:bCs/>
          <w:sz w:val="28"/>
          <w:szCs w:val="28"/>
          <w:rtl/>
        </w:rPr>
        <w:t>צניעות</w:t>
      </w:r>
      <w:r>
        <w:rPr>
          <w:rFonts w:hint="cs"/>
          <w:rtl/>
        </w:rPr>
        <w:t xml:space="preserve">, היינו שישיבתם שם היתה בסוד הצניעות עצמה. "צניעותא" היא סוד "רישא </w:t>
      </w:r>
      <w:r w:rsidRPr="000F124B">
        <w:rPr>
          <w:rFonts w:hint="cs"/>
          <w:b/>
          <w:bCs/>
          <w:sz w:val="28"/>
          <w:szCs w:val="28"/>
          <w:rtl/>
        </w:rPr>
        <w:t>דלא</w:t>
      </w:r>
      <w:r>
        <w:rPr>
          <w:rFonts w:hint="cs"/>
          <w:rtl/>
        </w:rPr>
        <w:t xml:space="preserve"> ידע ולא אתידע"</w:t>
      </w:r>
      <w:r w:rsidRPr="008636EE">
        <w:rPr>
          <w:rStyle w:val="a3"/>
          <w:rtl/>
        </w:rPr>
        <w:endnoteReference w:id="13"/>
      </w:r>
      <w:r>
        <w:rPr>
          <w:rFonts w:hint="cs"/>
          <w:rtl/>
        </w:rPr>
        <w:t xml:space="preserve">, סוד שם </w:t>
      </w:r>
      <w:r w:rsidRPr="00F61D4F">
        <w:rPr>
          <w:rFonts w:hint="cs"/>
          <w:b/>
          <w:bCs/>
          <w:sz w:val="28"/>
          <w:szCs w:val="28"/>
          <w:rtl/>
        </w:rPr>
        <w:t>אלד</w:t>
      </w:r>
      <w:r>
        <w:rPr>
          <w:rFonts w:hint="cs"/>
          <w:rtl/>
        </w:rPr>
        <w:t xml:space="preserve"> שהוא מקור הלידה</w:t>
      </w:r>
      <w:r w:rsidRPr="008636EE">
        <w:rPr>
          <w:rStyle w:val="a3"/>
          <w:rtl/>
        </w:rPr>
        <w:endnoteReference w:id="14"/>
      </w:r>
      <w:r>
        <w:rPr>
          <w:rFonts w:hint="cs"/>
          <w:rtl/>
        </w:rPr>
        <w:t xml:space="preserve"> בקדושה ובטהרה (</w:t>
      </w:r>
      <w:r w:rsidRPr="00B35694">
        <w:rPr>
          <w:rFonts w:hint="cs"/>
          <w:b/>
          <w:bCs/>
          <w:sz w:val="28"/>
          <w:szCs w:val="28"/>
          <w:rtl/>
        </w:rPr>
        <w:t>רבי</w:t>
      </w:r>
      <w:r>
        <w:rPr>
          <w:rFonts w:hint="cs"/>
          <w:rtl/>
        </w:rPr>
        <w:t xml:space="preserve"> </w:t>
      </w:r>
      <w:r w:rsidRPr="00B35694">
        <w:rPr>
          <w:rFonts w:hint="cs"/>
          <w:b/>
          <w:bCs/>
          <w:sz w:val="28"/>
          <w:szCs w:val="28"/>
          <w:rtl/>
        </w:rPr>
        <w:t>יוחנן</w:t>
      </w:r>
      <w:r>
        <w:rPr>
          <w:rFonts w:hint="cs"/>
          <w:rtl/>
        </w:rPr>
        <w:t xml:space="preserve"> עצמו שייך לסוד </w:t>
      </w:r>
      <w:r w:rsidRPr="00B35694">
        <w:rPr>
          <w:rFonts w:hint="cs"/>
          <w:b/>
          <w:bCs/>
          <w:sz w:val="28"/>
          <w:szCs w:val="28"/>
          <w:rtl/>
        </w:rPr>
        <w:t>פורים</w:t>
      </w:r>
      <w:r>
        <w:rPr>
          <w:rFonts w:hint="cs"/>
          <w:rtl/>
        </w:rPr>
        <w:t>, חג ה</w:t>
      </w:r>
      <w:r w:rsidRPr="00D91656">
        <w:rPr>
          <w:rStyle w:val="a4"/>
          <w:rFonts w:hint="cs"/>
          <w:rtl/>
        </w:rPr>
        <w:t>פוריא</w:t>
      </w:r>
      <w:r>
        <w:rPr>
          <w:rFonts w:hint="cs"/>
          <w:rtl/>
        </w:rPr>
        <w:t xml:space="preserve"> שענינו </w:t>
      </w:r>
      <w:r w:rsidRPr="00D91656">
        <w:rPr>
          <w:rStyle w:val="a4"/>
          <w:rFonts w:hint="cs"/>
          <w:rtl/>
        </w:rPr>
        <w:t>פריה</w:t>
      </w:r>
      <w:r>
        <w:rPr>
          <w:rFonts w:hint="cs"/>
          <w:rtl/>
        </w:rPr>
        <w:t xml:space="preserve"> ורביה</w:t>
      </w:r>
      <w:r w:rsidRPr="008636EE">
        <w:rPr>
          <w:rStyle w:val="a3"/>
          <w:rtl/>
        </w:rPr>
        <w:endnoteReference w:id="15"/>
      </w:r>
      <w:r>
        <w:rPr>
          <w:rFonts w:hint="cs"/>
          <w:rtl/>
        </w:rPr>
        <w:t xml:space="preserve">, בו יש להגיע ל"עד </w:t>
      </w:r>
      <w:r w:rsidRPr="00B35694">
        <w:rPr>
          <w:rFonts w:hint="cs"/>
          <w:b/>
          <w:bCs/>
          <w:sz w:val="28"/>
          <w:szCs w:val="28"/>
          <w:rtl/>
        </w:rPr>
        <w:t>דלא</w:t>
      </w:r>
      <w:r>
        <w:rPr>
          <w:rFonts w:hint="cs"/>
          <w:rtl/>
        </w:rPr>
        <w:t xml:space="preserve"> ידע").</w:t>
      </w:r>
    </w:p>
    <w:p w:rsidR="00065770" w:rsidRDefault="00065770" w:rsidP="00065770">
      <w:pPr>
        <w:widowControl w:val="0"/>
        <w:rPr>
          <w:rFonts w:hint="cs"/>
          <w:rtl/>
        </w:rPr>
      </w:pPr>
      <w:r>
        <w:rPr>
          <w:rFonts w:hint="cs"/>
          <w:rtl/>
        </w:rPr>
        <w:t>בסיפורי חז"ל ישנה הוראה לדורות, וכך על כל אשה בדרכה למקוה לצייר כיצד יושב רב גידל בשער המקוה ומדריך אותה בדקדוקי ההלכה של הטבילה וההכנות אליה. בצאתה מהמקוה עליה לצייר לעצמה את רבי יוחנן ולאחל לעצמה בנים יפים וצדיקים כמותו. הגמרא</w:t>
      </w:r>
      <w:r w:rsidRPr="008636EE">
        <w:rPr>
          <w:rStyle w:val="a3"/>
          <w:rtl/>
        </w:rPr>
        <w:endnoteReference w:id="16"/>
      </w:r>
      <w:r>
        <w:rPr>
          <w:rFonts w:hint="cs"/>
          <w:rtl/>
        </w:rPr>
        <w:t xml:space="preserve"> מסייעת לצייר את יפיו הנראה לעין של רבי יוחנן, השריד ל"שפירי דירושלים", בתיאור מופלא: "</w:t>
      </w:r>
      <w:r>
        <w:rPr>
          <w:rtl/>
        </w:rPr>
        <w:t>מאן דבעי מחזי שופריה דרבי יוחנן נייתי כסא דכספא מבי סלקי ונמלייה פרצידיא דרומנא סומקא ונהדר ליה כלילא דוורדא סומקא לפומיה ונותביה בין שמשא לטולא ההוא זהרורי מעין שופריה דרבי יוחנן</w:t>
      </w:r>
      <w:r>
        <w:rPr>
          <w:rFonts w:hint="cs"/>
          <w:rtl/>
        </w:rPr>
        <w:t xml:space="preserve">" (הרוצה לראות את יפיו של רבי יוחנן שיביא כוס של כסף ישר מבית הצורף </w:t>
      </w:r>
      <w:r>
        <w:rPr>
          <w:rtl/>
        </w:rPr>
        <w:t>–</w:t>
      </w:r>
      <w:r>
        <w:rPr>
          <w:rFonts w:hint="cs"/>
          <w:rtl/>
        </w:rPr>
        <w:t xml:space="preserve"> כאשר הוא עוד מבהיק ומבריק מאש הצורף </w:t>
      </w:r>
      <w:r>
        <w:rPr>
          <w:rtl/>
        </w:rPr>
        <w:t>–</w:t>
      </w:r>
      <w:r>
        <w:rPr>
          <w:rFonts w:hint="cs"/>
          <w:rtl/>
        </w:rPr>
        <w:t xml:space="preserve"> וימלא אותו גרגירי רימון אדום ויעטר את פיו בעטרה של ורד אדום ויושיב אותו בין השמש והצל, אותם זהרורים שיראו בו הם מעין יפיו של רבי יוחנן). כמובן, הלימוד על דמותו המופלאה של רבי יוחנן וההתעמקות בסיפורי חייו מסייעת לצייר את יפיו הפנימי של רבי יוחנן.</w:t>
      </w:r>
    </w:p>
    <w:p w:rsidR="005F4A47" w:rsidRDefault="00065770" w:rsidP="00065770">
      <w:r>
        <w:rPr>
          <w:rFonts w:hint="cs"/>
          <w:rtl/>
        </w:rPr>
        <w:lastRenderedPageBreak/>
        <w:t xml:space="preserve">ורמז: שתי הדמויות אותן יש לצייר, </w:t>
      </w:r>
      <w:r w:rsidRPr="0027537D">
        <w:rPr>
          <w:rFonts w:hint="cs"/>
          <w:b/>
          <w:bCs/>
          <w:sz w:val="28"/>
          <w:szCs w:val="28"/>
          <w:rtl/>
        </w:rPr>
        <w:t>רב</w:t>
      </w:r>
      <w:r>
        <w:rPr>
          <w:rFonts w:hint="cs"/>
          <w:rtl/>
        </w:rPr>
        <w:t xml:space="preserve"> </w:t>
      </w:r>
      <w:r w:rsidRPr="0027537D">
        <w:rPr>
          <w:rFonts w:hint="cs"/>
          <w:b/>
          <w:bCs/>
          <w:sz w:val="28"/>
          <w:szCs w:val="28"/>
          <w:rtl/>
        </w:rPr>
        <w:t>גידל</w:t>
      </w:r>
      <w:r>
        <w:rPr>
          <w:rFonts w:hint="cs"/>
          <w:rtl/>
        </w:rPr>
        <w:t xml:space="preserve"> לפני המקוה ו</w:t>
      </w:r>
      <w:r w:rsidRPr="0027537D">
        <w:rPr>
          <w:rFonts w:hint="cs"/>
          <w:b/>
          <w:bCs/>
          <w:sz w:val="28"/>
          <w:szCs w:val="28"/>
          <w:rtl/>
        </w:rPr>
        <w:t>רבי</w:t>
      </w:r>
      <w:r>
        <w:rPr>
          <w:rFonts w:hint="cs"/>
          <w:rtl/>
        </w:rPr>
        <w:t xml:space="preserve"> </w:t>
      </w:r>
      <w:r w:rsidRPr="0027537D">
        <w:rPr>
          <w:rFonts w:hint="cs"/>
          <w:b/>
          <w:bCs/>
          <w:sz w:val="28"/>
          <w:szCs w:val="28"/>
          <w:rtl/>
        </w:rPr>
        <w:t>יוחנן</w:t>
      </w:r>
      <w:r>
        <w:rPr>
          <w:rFonts w:hint="cs"/>
          <w:rtl/>
        </w:rPr>
        <w:t xml:space="preserve"> לאחר המקוה, עולים יחד </w:t>
      </w:r>
      <w:r w:rsidRPr="0027537D">
        <w:rPr>
          <w:rFonts w:hint="cs"/>
          <w:b/>
          <w:bCs/>
          <w:sz w:val="28"/>
          <w:szCs w:val="28"/>
          <w:rtl/>
        </w:rPr>
        <w:t>יג</w:t>
      </w:r>
      <w:r>
        <w:rPr>
          <w:rFonts w:hint="cs"/>
          <w:rtl/>
        </w:rPr>
        <w:t xml:space="preserve"> (</w:t>
      </w:r>
      <w:r w:rsidRPr="0027537D">
        <w:rPr>
          <w:rFonts w:hint="cs"/>
          <w:b/>
          <w:bCs/>
          <w:sz w:val="28"/>
          <w:szCs w:val="28"/>
          <w:rtl/>
        </w:rPr>
        <w:t>אחד</w:t>
      </w:r>
      <w:r>
        <w:rPr>
          <w:rFonts w:hint="cs"/>
          <w:rtl/>
        </w:rPr>
        <w:t xml:space="preserve">, </w:t>
      </w:r>
      <w:r w:rsidRPr="0027537D">
        <w:rPr>
          <w:rFonts w:hint="cs"/>
          <w:b/>
          <w:bCs/>
          <w:sz w:val="28"/>
          <w:szCs w:val="28"/>
          <w:rtl/>
        </w:rPr>
        <w:t>אהבה</w:t>
      </w:r>
      <w:r>
        <w:rPr>
          <w:rFonts w:hint="cs"/>
          <w:rtl/>
        </w:rPr>
        <w:t xml:space="preserve">) פעמים </w:t>
      </w:r>
      <w:r w:rsidRPr="0027537D">
        <w:rPr>
          <w:rFonts w:hint="cs"/>
          <w:b/>
          <w:bCs/>
          <w:sz w:val="28"/>
          <w:szCs w:val="28"/>
          <w:rtl/>
        </w:rPr>
        <w:t>מה</w:t>
      </w:r>
      <w:r>
        <w:rPr>
          <w:rFonts w:hint="cs"/>
          <w:rtl/>
        </w:rPr>
        <w:t xml:space="preserve"> (</w:t>
      </w:r>
      <w:r w:rsidRPr="0027537D">
        <w:rPr>
          <w:rFonts w:hint="cs"/>
          <w:b/>
          <w:bCs/>
          <w:sz w:val="28"/>
          <w:szCs w:val="28"/>
          <w:rtl/>
        </w:rPr>
        <w:t>אדם</w:t>
      </w:r>
      <w:r>
        <w:rPr>
          <w:rFonts w:hint="cs"/>
          <w:rtl/>
        </w:rPr>
        <w:t xml:space="preserve">), כמנין </w:t>
      </w:r>
      <w:r w:rsidRPr="00180BCA">
        <w:rPr>
          <w:rFonts w:hint="cs"/>
          <w:b/>
          <w:bCs/>
          <w:sz w:val="28"/>
          <w:szCs w:val="28"/>
          <w:rtl/>
        </w:rPr>
        <w:t>שפרה</w:t>
      </w:r>
      <w:r>
        <w:rPr>
          <w:rFonts w:hint="cs"/>
          <w:rtl/>
        </w:rPr>
        <w:t xml:space="preserve">. על ידי ההתעצמות עם דמויות הצדיקים זוכה האשה להפוך ל"חיה" </w:t>
      </w:r>
      <w:r>
        <w:rPr>
          <w:rtl/>
        </w:rPr>
        <w:t>–</w:t>
      </w:r>
      <w:r>
        <w:rPr>
          <w:rFonts w:hint="cs"/>
          <w:rtl/>
        </w:rPr>
        <w:t xml:space="preserve"> יולדת ומילדת</w:t>
      </w:r>
      <w:r w:rsidRPr="008636EE">
        <w:rPr>
          <w:rStyle w:val="a3"/>
          <w:rtl/>
        </w:rPr>
        <w:endnoteReference w:id="17"/>
      </w:r>
      <w:r>
        <w:rPr>
          <w:rFonts w:hint="cs"/>
          <w:rtl/>
        </w:rPr>
        <w:t xml:space="preserve"> </w:t>
      </w:r>
      <w:r>
        <w:rPr>
          <w:rtl/>
        </w:rPr>
        <w:t>–</w:t>
      </w:r>
      <w:r>
        <w:rPr>
          <w:rFonts w:hint="cs"/>
          <w:rtl/>
        </w:rPr>
        <w:t xml:space="preserve"> כשפרה "המשפרת את הולד"</w:t>
      </w:r>
      <w:r w:rsidRPr="008636EE">
        <w:rPr>
          <w:rStyle w:val="a3"/>
          <w:rtl/>
        </w:rPr>
        <w:endnoteReference w:id="18"/>
      </w:r>
      <w:r>
        <w:rPr>
          <w:rFonts w:hint="cs"/>
          <w:rtl/>
        </w:rPr>
        <w:t>.</w:t>
      </w:r>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578" w:rsidRDefault="00F16578" w:rsidP="00065770">
      <w:pPr>
        <w:spacing w:after="0" w:line="240" w:lineRule="auto"/>
      </w:pPr>
      <w:r>
        <w:separator/>
      </w:r>
    </w:p>
  </w:endnote>
  <w:endnote w:type="continuationSeparator" w:id="0">
    <w:p w:rsidR="00F16578" w:rsidRDefault="00F16578" w:rsidP="00065770">
      <w:pPr>
        <w:spacing w:after="0" w:line="240" w:lineRule="auto"/>
      </w:pPr>
      <w:r>
        <w:continuationSeparator/>
      </w:r>
    </w:p>
  </w:endnote>
  <w:endnote w:id="1">
    <w:p w:rsidR="00065770" w:rsidRDefault="00065770" w:rsidP="00065770">
      <w:pPr>
        <w:pStyle w:val="a5"/>
        <w:rPr>
          <w:rFonts w:hint="cs"/>
          <w:rtl/>
        </w:rPr>
      </w:pPr>
      <w:r>
        <w:rPr>
          <w:rtl/>
        </w:rPr>
        <w:tab/>
      </w:r>
      <w:r w:rsidRPr="00944A81">
        <w:rPr>
          <w:rtl/>
        </w:rPr>
        <w:endnoteRef/>
      </w:r>
      <w:r>
        <w:rPr>
          <w:rtl/>
        </w:rPr>
        <w:t>.</w:t>
      </w:r>
      <w:r>
        <w:rPr>
          <w:rtl/>
        </w:rPr>
        <w:tab/>
      </w:r>
      <w:r>
        <w:rPr>
          <w:rFonts w:hint="cs"/>
          <w:rtl/>
        </w:rPr>
        <w:t>ברכות כ, א.</w:t>
      </w:r>
    </w:p>
  </w:endnote>
  <w:endnote w:id="2">
    <w:p w:rsidR="00065770" w:rsidRDefault="00065770" w:rsidP="00065770">
      <w:pPr>
        <w:pStyle w:val="a5"/>
        <w:rPr>
          <w:rFonts w:hint="cs"/>
        </w:rPr>
      </w:pPr>
      <w:r>
        <w:rPr>
          <w:rtl/>
        </w:rPr>
        <w:tab/>
      </w:r>
      <w:r w:rsidRPr="00944A81">
        <w:rPr>
          <w:rtl/>
        </w:rPr>
        <w:endnoteRef/>
      </w:r>
      <w:r>
        <w:rPr>
          <w:rtl/>
        </w:rPr>
        <w:t>.</w:t>
      </w:r>
      <w:r>
        <w:rPr>
          <w:rtl/>
        </w:rPr>
        <w:tab/>
      </w:r>
      <w:r>
        <w:rPr>
          <w:rFonts w:hint="cs"/>
          <w:rtl/>
        </w:rPr>
        <w:t>ספר המנהגים עמ' 83.</w:t>
      </w:r>
    </w:p>
  </w:endnote>
  <w:endnote w:id="3">
    <w:p w:rsidR="00065770" w:rsidRDefault="00065770" w:rsidP="00065770">
      <w:pPr>
        <w:pStyle w:val="a5"/>
        <w:rPr>
          <w:rFonts w:hint="cs"/>
          <w:rtl/>
        </w:rPr>
      </w:pPr>
      <w:r>
        <w:rPr>
          <w:rtl/>
        </w:rPr>
        <w:tab/>
      </w:r>
      <w:r w:rsidRPr="00944A81">
        <w:rPr>
          <w:rtl/>
        </w:rPr>
        <w:endnoteRef/>
      </w:r>
      <w:r>
        <w:rPr>
          <w:rtl/>
        </w:rPr>
        <w:t>.</w:t>
      </w:r>
      <w:r>
        <w:rPr>
          <w:rtl/>
        </w:rPr>
        <w:tab/>
      </w:r>
      <w:r>
        <w:rPr>
          <w:rFonts w:hint="cs"/>
          <w:rtl/>
        </w:rPr>
        <w:t xml:space="preserve">בבא מציעא פד, א </w:t>
      </w:r>
      <w:r>
        <w:rPr>
          <w:rtl/>
        </w:rPr>
        <w:t>–</w:t>
      </w:r>
      <w:r>
        <w:rPr>
          <w:rFonts w:hint="cs"/>
          <w:rtl/>
        </w:rPr>
        <w:t xml:space="preserve"> ועיי"ש כי יפיו היה יפי 'נשי' דווקא, ואכמ"ל.</w:t>
      </w:r>
    </w:p>
  </w:endnote>
  <w:endnote w:id="4">
    <w:p w:rsidR="00065770" w:rsidRDefault="00065770" w:rsidP="00065770">
      <w:pPr>
        <w:pStyle w:val="a5"/>
        <w:rPr>
          <w:rFonts w:hint="cs"/>
          <w:rtl/>
        </w:rPr>
      </w:pPr>
      <w:r>
        <w:rPr>
          <w:rtl/>
        </w:rPr>
        <w:tab/>
      </w:r>
      <w:r w:rsidRPr="00944A81">
        <w:rPr>
          <w:rtl/>
        </w:rPr>
        <w:endnoteRef/>
      </w:r>
      <w:r>
        <w:rPr>
          <w:rtl/>
        </w:rPr>
        <w:t>.</w:t>
      </w:r>
      <w:r>
        <w:rPr>
          <w:rtl/>
        </w:rPr>
        <w:tab/>
      </w:r>
      <w:r>
        <w:rPr>
          <w:rFonts w:hint="cs"/>
          <w:rtl/>
        </w:rPr>
        <w:t>וראה גם שער ו בתורה "יחוד, ברכה, קדושה" (והנסמן שם).</w:t>
      </w:r>
    </w:p>
  </w:endnote>
  <w:endnote w:id="5">
    <w:p w:rsidR="00065770" w:rsidRDefault="00065770" w:rsidP="00065770">
      <w:pPr>
        <w:pStyle w:val="a5"/>
        <w:rPr>
          <w:rFonts w:hint="cs"/>
        </w:rPr>
      </w:pPr>
      <w:r>
        <w:rPr>
          <w:rtl/>
        </w:rPr>
        <w:tab/>
      </w:r>
      <w:r w:rsidRPr="00944A81">
        <w:rPr>
          <w:rtl/>
        </w:rPr>
        <w:endnoteRef/>
      </w:r>
      <w:r>
        <w:rPr>
          <w:rtl/>
        </w:rPr>
        <w:t>.</w:t>
      </w:r>
      <w:r>
        <w:rPr>
          <w:rtl/>
        </w:rPr>
        <w:tab/>
      </w:r>
      <w:r>
        <w:rPr>
          <w:rFonts w:hint="cs"/>
          <w:rtl/>
        </w:rPr>
        <w:t>בבא מציעא פד, א.</w:t>
      </w:r>
    </w:p>
  </w:endnote>
  <w:endnote w:id="6">
    <w:p w:rsidR="00065770" w:rsidRDefault="00065770" w:rsidP="00065770">
      <w:pPr>
        <w:pStyle w:val="a5"/>
        <w:rPr>
          <w:rFonts w:hint="cs"/>
          <w:rtl/>
        </w:rPr>
      </w:pPr>
      <w:r>
        <w:rPr>
          <w:rtl/>
        </w:rPr>
        <w:tab/>
      </w:r>
      <w:r w:rsidRPr="00944A81">
        <w:rPr>
          <w:rtl/>
        </w:rPr>
        <w:endnoteRef/>
      </w:r>
      <w:r>
        <w:rPr>
          <w:rtl/>
        </w:rPr>
        <w:t>.</w:t>
      </w:r>
      <w:r>
        <w:rPr>
          <w:rtl/>
        </w:rPr>
        <w:tab/>
      </w:r>
      <w:r>
        <w:rPr>
          <w:rFonts w:hint="cs"/>
          <w:rtl/>
        </w:rPr>
        <w:t>וראה גם בבניהו בן יהוידע על הסוגיא.</w:t>
      </w:r>
    </w:p>
  </w:endnote>
  <w:endnote w:id="7">
    <w:p w:rsidR="00065770" w:rsidRDefault="00065770" w:rsidP="00065770">
      <w:pPr>
        <w:pStyle w:val="a5"/>
        <w:rPr>
          <w:rFonts w:hint="cs"/>
          <w:rtl/>
        </w:rPr>
      </w:pPr>
      <w:r>
        <w:rPr>
          <w:rtl/>
        </w:rPr>
        <w:tab/>
      </w:r>
      <w:r w:rsidRPr="00944A81">
        <w:rPr>
          <w:rtl/>
        </w:rPr>
        <w:endnoteRef/>
      </w:r>
      <w:r>
        <w:rPr>
          <w:rtl/>
        </w:rPr>
        <w:t>.</w:t>
      </w:r>
      <w:r>
        <w:rPr>
          <w:rtl/>
        </w:rPr>
        <w:tab/>
      </w:r>
      <w:r w:rsidRPr="00ED493C">
        <w:rPr>
          <w:rtl/>
        </w:rPr>
        <w:t>ויקרא רבה ט, ג; תנא דבי אליהו רבה א.</w:t>
      </w:r>
      <w:r>
        <w:rPr>
          <w:rFonts w:hint="cs"/>
          <w:rtl/>
        </w:rPr>
        <w:t xml:space="preserve"> וראה </w:t>
      </w:r>
      <w:r>
        <w:rPr>
          <w:rtl/>
        </w:rPr>
        <w:t>ראה אור התורה בראשית עמ'</w:t>
      </w:r>
      <w:r>
        <w:rPr>
          <w:rFonts w:hint="cs"/>
          <w:rtl/>
        </w:rPr>
        <w:t xml:space="preserve"> </w:t>
      </w:r>
      <w:r>
        <w:rPr>
          <w:rtl/>
        </w:rPr>
        <w:t>תקפג</w:t>
      </w:r>
      <w:r>
        <w:rPr>
          <w:rFonts w:hint="cs"/>
          <w:rtl/>
        </w:rPr>
        <w:t xml:space="preserve"> (הובא ונתבאר בלחיות עם הזמן בראשית עמ' מ ואילך) כי יש בכך גם בחינה של קדימה במעלה, ואכמ"ל.</w:t>
      </w:r>
    </w:p>
  </w:endnote>
  <w:endnote w:id="8">
    <w:p w:rsidR="00065770" w:rsidRDefault="00065770" w:rsidP="00065770">
      <w:pPr>
        <w:pStyle w:val="a5"/>
        <w:rPr>
          <w:rFonts w:hint="cs"/>
          <w:rtl/>
        </w:rPr>
      </w:pPr>
      <w:r>
        <w:rPr>
          <w:rtl/>
        </w:rPr>
        <w:tab/>
      </w:r>
      <w:r w:rsidRPr="00944A81">
        <w:rPr>
          <w:rtl/>
        </w:rPr>
        <w:endnoteRef/>
      </w:r>
      <w:r>
        <w:rPr>
          <w:rtl/>
        </w:rPr>
        <w:t>.</w:t>
      </w:r>
      <w:r>
        <w:rPr>
          <w:rtl/>
        </w:rPr>
        <w:tab/>
      </w:r>
      <w:r>
        <w:rPr>
          <w:rFonts w:hint="cs"/>
          <w:rtl/>
        </w:rPr>
        <w:t xml:space="preserve">ראה נדרים נ, ב (וראה גם בבניהו בן יהוידע הנ"ל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Ref301954323 \h</w:instrText>
      </w:r>
      <w:r>
        <w:rPr>
          <w:rtl/>
        </w:rPr>
        <w:instrText xml:space="preserve"> </w:instrText>
      </w:r>
      <w:r>
        <w:rPr>
          <w:rtl/>
        </w:rPr>
        <w:fldChar w:fldCharType="separate"/>
      </w:r>
      <w:r>
        <w:rPr>
          <w:rtl/>
        </w:rPr>
        <w:t>ו</w:t>
      </w:r>
      <w:r>
        <w:rPr>
          <w:rtl/>
        </w:rPr>
        <w:fldChar w:fldCharType="end"/>
      </w:r>
      <w:r>
        <w:rPr>
          <w:rFonts w:hint="cs"/>
          <w:rtl/>
        </w:rPr>
        <w:t>).</w:t>
      </w:r>
    </w:p>
  </w:endnote>
  <w:endnote w:id="9">
    <w:p w:rsidR="00065770" w:rsidRDefault="00065770" w:rsidP="00065770">
      <w:pPr>
        <w:pStyle w:val="a5"/>
        <w:rPr>
          <w:rFonts w:hint="cs"/>
          <w:rtl/>
        </w:rPr>
      </w:pPr>
      <w:r>
        <w:rPr>
          <w:rtl/>
        </w:rPr>
        <w:tab/>
      </w:r>
      <w:r w:rsidRPr="00944A81">
        <w:rPr>
          <w:rtl/>
        </w:rPr>
        <w:endnoteRef/>
      </w:r>
      <w:r>
        <w:rPr>
          <w:rtl/>
        </w:rPr>
        <w:t>.</w:t>
      </w:r>
      <w:r>
        <w:rPr>
          <w:rtl/>
        </w:rPr>
        <w:tab/>
      </w:r>
      <w:r>
        <w:rPr>
          <w:rFonts w:hint="cs"/>
          <w:rtl/>
        </w:rPr>
        <w:t>וראה דרך מצותיך מצות נר חנוכה (עג, א) בטעם ש"טבע מראה הנשים יפה מהאנשים".</w:t>
      </w:r>
    </w:p>
  </w:endnote>
  <w:endnote w:id="10">
    <w:p w:rsidR="00065770" w:rsidRDefault="00065770" w:rsidP="00065770">
      <w:pPr>
        <w:pStyle w:val="a5"/>
        <w:rPr>
          <w:rFonts w:hint="cs"/>
          <w:rtl/>
        </w:rPr>
      </w:pPr>
      <w:r>
        <w:rPr>
          <w:rtl/>
        </w:rPr>
        <w:tab/>
      </w:r>
      <w:r w:rsidRPr="00944A81">
        <w:rPr>
          <w:rtl/>
        </w:rPr>
        <w:endnoteRef/>
      </w:r>
      <w:r>
        <w:rPr>
          <w:rtl/>
        </w:rPr>
        <w:t>.</w:t>
      </w:r>
      <w:r>
        <w:rPr>
          <w:rtl/>
        </w:rPr>
        <w:tab/>
      </w:r>
      <w:r>
        <w:rPr>
          <w:rFonts w:hint="cs"/>
          <w:rtl/>
        </w:rPr>
        <w:t>בראשית יב, יא (וראה מגלה טו, א ובבא בתרא נח, א); שם כד, טז; שם כט, יז (וברוב מפרשי הפסוק מוסבר כי הוא עוסק הן ביפיה של לאה והן ביפיה של רחל).</w:t>
      </w:r>
    </w:p>
  </w:endnote>
  <w:endnote w:id="11">
    <w:p w:rsidR="00065770" w:rsidRDefault="00065770" w:rsidP="00065770">
      <w:pPr>
        <w:pStyle w:val="a5"/>
        <w:rPr>
          <w:rFonts w:hint="cs"/>
        </w:rPr>
      </w:pPr>
      <w:r>
        <w:rPr>
          <w:rtl/>
        </w:rPr>
        <w:tab/>
      </w:r>
      <w:r w:rsidRPr="00944A81">
        <w:rPr>
          <w:rtl/>
        </w:rPr>
        <w:endnoteRef/>
      </w:r>
      <w:r>
        <w:rPr>
          <w:rtl/>
        </w:rPr>
        <w:t>.</w:t>
      </w:r>
      <w:r>
        <w:rPr>
          <w:rtl/>
        </w:rPr>
        <w:tab/>
      </w:r>
      <w:r>
        <w:rPr>
          <w:rFonts w:hint="cs"/>
          <w:rtl/>
        </w:rPr>
        <w:t>ראה למשל אגרות קדש ח"ד אגרת תתקצט, ובריבוי מקומות.</w:t>
      </w:r>
    </w:p>
  </w:endnote>
  <w:endnote w:id="12">
    <w:p w:rsidR="00065770" w:rsidRDefault="00065770" w:rsidP="00065770">
      <w:pPr>
        <w:pStyle w:val="a5"/>
        <w:rPr>
          <w:rFonts w:hint="cs"/>
          <w:rtl/>
        </w:rPr>
      </w:pPr>
      <w:r>
        <w:rPr>
          <w:rtl/>
        </w:rPr>
        <w:tab/>
      </w:r>
      <w:r w:rsidRPr="00944A81">
        <w:rPr>
          <w:rtl/>
        </w:rPr>
        <w:endnoteRef/>
      </w:r>
      <w:r>
        <w:rPr>
          <w:rtl/>
        </w:rPr>
        <w:t>.</w:t>
      </w:r>
      <w:r>
        <w:rPr>
          <w:rtl/>
        </w:rPr>
        <w:tab/>
      </w:r>
      <w:r>
        <w:rPr>
          <w:rFonts w:hint="cs"/>
          <w:rtl/>
        </w:rPr>
        <w:t>תהלים קיט, יח.</w:t>
      </w:r>
    </w:p>
  </w:endnote>
  <w:endnote w:id="13">
    <w:p w:rsidR="00065770" w:rsidRDefault="00065770" w:rsidP="00065770">
      <w:pPr>
        <w:pStyle w:val="a5"/>
        <w:rPr>
          <w:rFonts w:hint="cs"/>
          <w:rtl/>
        </w:rPr>
      </w:pPr>
      <w:r>
        <w:rPr>
          <w:rtl/>
        </w:rPr>
        <w:tab/>
      </w:r>
      <w:r w:rsidRPr="00944A81">
        <w:rPr>
          <w:rtl/>
        </w:rPr>
        <w:endnoteRef/>
      </w:r>
      <w:r>
        <w:rPr>
          <w:rtl/>
        </w:rPr>
        <w:t>.</w:t>
      </w:r>
      <w:r>
        <w:rPr>
          <w:rtl/>
        </w:rPr>
        <w:tab/>
      </w:r>
      <w:r>
        <w:rPr>
          <w:rFonts w:hint="cs"/>
          <w:rtl/>
        </w:rPr>
        <w:t>ראה עמק המלך שי"א פכ"ה. ביאור הגר"א לספרא דצניעותא (בריבוי מקומות). שכינה ביניהם פ"ח.</w:t>
      </w:r>
    </w:p>
  </w:endnote>
  <w:endnote w:id="14">
    <w:p w:rsidR="00065770" w:rsidRDefault="00065770" w:rsidP="00065770">
      <w:pPr>
        <w:pStyle w:val="a5"/>
        <w:rPr>
          <w:rFonts w:hint="cs"/>
        </w:rPr>
      </w:pPr>
      <w:r>
        <w:rPr>
          <w:rtl/>
        </w:rPr>
        <w:tab/>
      </w:r>
      <w:r w:rsidRPr="00944A81">
        <w:rPr>
          <w:rtl/>
        </w:rPr>
        <w:endnoteRef/>
      </w:r>
      <w:r>
        <w:rPr>
          <w:rtl/>
        </w:rPr>
        <w:t>.</w:t>
      </w:r>
      <w:r>
        <w:rPr>
          <w:rtl/>
        </w:rPr>
        <w:tab/>
      </w:r>
      <w:r>
        <w:rPr>
          <w:rFonts w:hint="cs"/>
          <w:rtl/>
        </w:rPr>
        <w:t>פרי עץ חיים שער תיקון חצות פ"ג (ובכ"ד). כתר שם טוב (הוצאת קה"ת) ב, בכוונות המקוה!</w:t>
      </w:r>
    </w:p>
  </w:endnote>
  <w:endnote w:id="15">
    <w:p w:rsidR="00065770" w:rsidRDefault="00065770" w:rsidP="00065770">
      <w:pPr>
        <w:pStyle w:val="a5"/>
        <w:rPr>
          <w:rFonts w:hint="cs"/>
        </w:rPr>
      </w:pPr>
      <w:r>
        <w:rPr>
          <w:rtl/>
        </w:rPr>
        <w:tab/>
      </w:r>
      <w:r w:rsidRPr="00944A81">
        <w:rPr>
          <w:rtl/>
        </w:rPr>
        <w:endnoteRef/>
      </w:r>
      <w:r>
        <w:rPr>
          <w:rtl/>
        </w:rPr>
        <w:t>.</w:t>
      </w:r>
      <w:r>
        <w:rPr>
          <w:rtl/>
        </w:rPr>
        <w:tab/>
      </w:r>
      <w:r>
        <w:rPr>
          <w:rFonts w:hint="cs"/>
          <w:rtl/>
        </w:rPr>
        <w:t xml:space="preserve">וראה שבת עז, ב: "פוריא </w:t>
      </w:r>
      <w:r>
        <w:rPr>
          <w:rtl/>
        </w:rPr>
        <w:t>–</w:t>
      </w:r>
      <w:r>
        <w:rPr>
          <w:rFonts w:hint="cs"/>
          <w:rtl/>
        </w:rPr>
        <w:t xml:space="preserve"> שפרין ורבין עליה".</w:t>
      </w:r>
    </w:p>
  </w:endnote>
  <w:endnote w:id="16">
    <w:p w:rsidR="00065770" w:rsidRDefault="00065770" w:rsidP="00065770">
      <w:pPr>
        <w:pStyle w:val="a5"/>
        <w:rPr>
          <w:rFonts w:hint="cs"/>
        </w:rPr>
      </w:pPr>
      <w:r>
        <w:rPr>
          <w:rtl/>
        </w:rPr>
        <w:tab/>
      </w:r>
      <w:r w:rsidRPr="00944A81">
        <w:rPr>
          <w:rtl/>
        </w:rPr>
        <w:endnoteRef/>
      </w:r>
      <w:r>
        <w:rPr>
          <w:rtl/>
        </w:rPr>
        <w:t>.</w:t>
      </w:r>
      <w:r>
        <w:rPr>
          <w:rtl/>
        </w:rPr>
        <w:tab/>
      </w:r>
      <w:r>
        <w:rPr>
          <w:rFonts w:hint="cs"/>
          <w:rtl/>
        </w:rPr>
        <w:t>בבא מציעא שם.</w:t>
      </w:r>
    </w:p>
  </w:endnote>
  <w:endnote w:id="17">
    <w:p w:rsidR="00065770" w:rsidRDefault="00065770" w:rsidP="00065770">
      <w:pPr>
        <w:pStyle w:val="a5"/>
        <w:rPr>
          <w:rFonts w:hint="cs"/>
          <w:rtl/>
        </w:rPr>
      </w:pPr>
      <w:r>
        <w:rPr>
          <w:rtl/>
        </w:rPr>
        <w:tab/>
      </w:r>
      <w:r w:rsidRPr="00944A81">
        <w:rPr>
          <w:rtl/>
        </w:rPr>
        <w:endnoteRef/>
      </w:r>
      <w:r>
        <w:rPr>
          <w:rtl/>
        </w:rPr>
        <w:t>.</w:t>
      </w:r>
      <w:r>
        <w:rPr>
          <w:rtl/>
        </w:rPr>
        <w:tab/>
      </w:r>
      <w:r>
        <w:rPr>
          <w:rFonts w:hint="cs"/>
          <w:rtl/>
        </w:rPr>
        <w:t>ראה שמות א, יט (וראה גם אשא עיני מאמר "סוד הנשימה: חדוה", ובפרט שם עמ' קעט).</w:t>
      </w:r>
    </w:p>
  </w:endnote>
  <w:endnote w:id="18">
    <w:p w:rsidR="00065770" w:rsidRDefault="00065770" w:rsidP="00065770">
      <w:pPr>
        <w:pStyle w:val="a5"/>
        <w:rPr>
          <w:rFonts w:hint="cs"/>
          <w:rtl/>
        </w:rPr>
      </w:pPr>
      <w:r>
        <w:rPr>
          <w:rtl/>
        </w:rPr>
        <w:tab/>
      </w:r>
      <w:r w:rsidRPr="00944A81">
        <w:rPr>
          <w:rtl/>
        </w:rPr>
        <w:endnoteRef/>
      </w:r>
      <w:r>
        <w:rPr>
          <w:rtl/>
        </w:rPr>
        <w:t>.</w:t>
      </w:r>
      <w:r>
        <w:rPr>
          <w:rtl/>
        </w:rPr>
        <w:tab/>
      </w:r>
      <w:r>
        <w:rPr>
          <w:rFonts w:hint="cs"/>
          <w:rtl/>
        </w:rPr>
        <w:t>סוטה יא,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578" w:rsidRDefault="00F16578" w:rsidP="00065770">
      <w:pPr>
        <w:spacing w:after="0" w:line="240" w:lineRule="auto"/>
      </w:pPr>
      <w:r>
        <w:separator/>
      </w:r>
    </w:p>
  </w:footnote>
  <w:footnote w:type="continuationSeparator" w:id="0">
    <w:p w:rsidR="00F16578" w:rsidRDefault="00F16578" w:rsidP="0006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79"/>
    <w:rsid w:val="00061E65"/>
    <w:rsid w:val="00065770"/>
    <w:rsid w:val="00AC2310"/>
    <w:rsid w:val="00EF7F79"/>
    <w:rsid w:val="00F1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6577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06577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6577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065770"/>
    <w:rPr>
      <w:noProof/>
      <w:position w:val="-4"/>
      <w:szCs w:val="26"/>
      <w:vertAlign w:val="superscript"/>
    </w:rPr>
  </w:style>
  <w:style w:type="character" w:customStyle="1" w:styleId="a4">
    <w:name w:val="מרים"/>
    <w:basedOn w:val="a0"/>
    <w:rsid w:val="00065770"/>
    <w:rPr>
      <w:rFonts w:cs="MiriamMFO"/>
      <w:w w:val="100"/>
      <w:sz w:val="21"/>
      <w:szCs w:val="23"/>
    </w:rPr>
  </w:style>
  <w:style w:type="paragraph" w:styleId="a5">
    <w:name w:val="endnote text"/>
    <w:aliases w:val="Endnote Text"/>
    <w:basedOn w:val="a"/>
    <w:link w:val="a6"/>
    <w:semiHidden/>
    <w:rsid w:val="00065770"/>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065770"/>
    <w:rPr>
      <w:rFonts w:ascii="Times New Roman" w:eastAsia="Times New Roman" w:hAnsi="Times New Roman" w:cs="oprFrank"/>
      <w:sz w:val="20"/>
      <w:szCs w:val="23"/>
      <w:lang w:eastAsia="he-IL"/>
    </w:rPr>
  </w:style>
  <w:style w:type="paragraph" w:customStyle="1" w:styleId="a7">
    <w:name w:val="פתיח תו"/>
    <w:basedOn w:val="a"/>
    <w:link w:val="a8"/>
    <w:rsid w:val="0006577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06577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6577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06577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6577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065770"/>
    <w:rPr>
      <w:noProof/>
      <w:position w:val="-4"/>
      <w:szCs w:val="26"/>
      <w:vertAlign w:val="superscript"/>
    </w:rPr>
  </w:style>
  <w:style w:type="character" w:customStyle="1" w:styleId="a4">
    <w:name w:val="מרים"/>
    <w:basedOn w:val="a0"/>
    <w:rsid w:val="00065770"/>
    <w:rPr>
      <w:rFonts w:cs="MiriamMFO"/>
      <w:w w:val="100"/>
      <w:sz w:val="21"/>
      <w:szCs w:val="23"/>
    </w:rPr>
  </w:style>
  <w:style w:type="paragraph" w:styleId="a5">
    <w:name w:val="endnote text"/>
    <w:aliases w:val="Endnote Text"/>
    <w:basedOn w:val="a"/>
    <w:link w:val="a6"/>
    <w:semiHidden/>
    <w:rsid w:val="00065770"/>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065770"/>
    <w:rPr>
      <w:rFonts w:ascii="Times New Roman" w:eastAsia="Times New Roman" w:hAnsi="Times New Roman" w:cs="oprFrank"/>
      <w:sz w:val="20"/>
      <w:szCs w:val="23"/>
      <w:lang w:eastAsia="he-IL"/>
    </w:rPr>
  </w:style>
  <w:style w:type="paragraph" w:customStyle="1" w:styleId="a7">
    <w:name w:val="פתיח תו"/>
    <w:basedOn w:val="a"/>
    <w:link w:val="a8"/>
    <w:rsid w:val="0006577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06577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2697</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2017-08-16T10:39:00Z</dcterms:created>
  <dcterms:modified xsi:type="dcterms:W3CDTF">2017-08-16T10:39:00Z</dcterms:modified>
</cp:coreProperties>
</file>