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BF7" w:rsidRDefault="001E4BF7" w:rsidP="001E4BF7">
      <w:pPr>
        <w:pStyle w:val="2"/>
        <w:rPr>
          <w:rFonts w:hint="cs"/>
          <w:rtl/>
        </w:rPr>
      </w:pPr>
      <w:r>
        <w:rPr>
          <w:rFonts w:hint="cs"/>
          <w:rtl/>
        </w:rPr>
        <w:t>תשעה ירחי לידה</w:t>
      </w:r>
    </w:p>
    <w:p w:rsidR="001E4BF7" w:rsidRPr="002E2CC9" w:rsidRDefault="001E4BF7" w:rsidP="001E4BF7">
      <w:pPr>
        <w:keepNext/>
        <w:framePr w:dropCap="drop" w:lines="2" w:hSpace="57" w:wrap="around" w:vAnchor="text" w:hAnchor="text" w:xAlign="right"/>
        <w:spacing w:after="0" w:line="760" w:lineRule="exact"/>
        <w:textAlignment w:val="baseline"/>
        <w:rPr>
          <w:rStyle w:val="ab"/>
          <w:rtl/>
        </w:rPr>
      </w:pPr>
      <w:r w:rsidRPr="002E2CC9">
        <w:rPr>
          <w:rStyle w:val="ab"/>
          <w:rFonts w:hint="cs"/>
          <w:rtl/>
        </w:rPr>
        <w:t>ס</w:t>
      </w:r>
    </w:p>
    <w:p w:rsidR="001E4BF7" w:rsidRDefault="001E4BF7" w:rsidP="001E4BF7">
      <w:pPr>
        <w:rPr>
          <w:rFonts w:hint="cs"/>
          <w:rtl/>
        </w:rPr>
      </w:pPr>
      <w:r w:rsidRPr="009813BB">
        <w:rPr>
          <w:rFonts w:hint="cs"/>
          <w:rtl/>
        </w:rPr>
        <w:t xml:space="preserve">דר החיים של הבית היהודי, המבוסס על הלכות טהרת המשפחה, משקף באופן מובהק את מבנה העבודה והתיקון אותו לימד מורנו הבעל שם טוב </w:t>
      </w:r>
      <w:r w:rsidRPr="009813BB">
        <w:rPr>
          <w:rtl/>
        </w:rPr>
        <w:t>–</w:t>
      </w:r>
      <w:r w:rsidRPr="009813BB">
        <w:rPr>
          <w:rFonts w:hint="cs"/>
          <w:rtl/>
        </w:rPr>
        <w:t xml:space="preserve"> הכנעה-הבדלה-המתקה</w:t>
      </w:r>
      <w:r w:rsidRPr="008636EE">
        <w:rPr>
          <w:rStyle w:val="a3"/>
          <w:rtl/>
        </w:rPr>
        <w:endnoteReference w:id="1"/>
      </w:r>
      <w:r w:rsidRPr="009813BB">
        <w:rPr>
          <w:rFonts w:hint="cs"/>
          <w:rtl/>
        </w:rPr>
        <w:t>: ימי הטומאה הם ימי הכנעה ("</w:t>
      </w:r>
      <w:r w:rsidRPr="00D91656">
        <w:rPr>
          <w:rStyle w:val="a6"/>
          <w:rFonts w:hint="cs"/>
          <w:rtl/>
        </w:rPr>
        <w:t>חש</w:t>
      </w:r>
      <w:r w:rsidRPr="009813BB">
        <w:rPr>
          <w:rFonts w:hint="cs"/>
          <w:rtl/>
        </w:rPr>
        <w:t>" של שתיקה), בהם נדרש</w:t>
      </w:r>
      <w:r w:rsidRPr="008636EE">
        <w:rPr>
          <w:rStyle w:val="a3"/>
          <w:rtl/>
        </w:rPr>
        <w:endnoteReference w:id="2"/>
      </w:r>
      <w:r w:rsidRPr="009813BB">
        <w:rPr>
          <w:rFonts w:hint="cs"/>
          <w:rtl/>
        </w:rPr>
        <w:t xml:space="preserve"> על ה</w:t>
      </w:r>
      <w:r w:rsidRPr="009813BB">
        <w:rPr>
          <w:rFonts w:hint="cs"/>
          <w:b/>
          <w:bCs/>
          <w:sz w:val="28"/>
          <w:szCs w:val="28"/>
          <w:rtl/>
        </w:rPr>
        <w:t>נדה</w:t>
      </w:r>
      <w:r w:rsidRPr="009813BB">
        <w:rPr>
          <w:rFonts w:hint="cs"/>
          <w:rtl/>
        </w:rPr>
        <w:t xml:space="preserve"> הפסוק "</w:t>
      </w:r>
      <w:r w:rsidRPr="009813BB">
        <w:rPr>
          <w:rFonts w:hint="cs"/>
          <w:b/>
          <w:bCs/>
          <w:sz w:val="28"/>
          <w:szCs w:val="28"/>
          <w:rtl/>
        </w:rPr>
        <w:t>נ</w:t>
      </w:r>
      <w:r w:rsidRPr="009813BB">
        <w:rPr>
          <w:rFonts w:hint="cs"/>
          <w:rtl/>
        </w:rPr>
        <w:t xml:space="preserve">אלמתי </w:t>
      </w:r>
      <w:r w:rsidRPr="009813BB">
        <w:rPr>
          <w:rFonts w:hint="cs"/>
          <w:b/>
          <w:bCs/>
          <w:sz w:val="28"/>
          <w:szCs w:val="28"/>
          <w:rtl/>
        </w:rPr>
        <w:t>ד</w:t>
      </w:r>
      <w:r w:rsidRPr="009813BB">
        <w:rPr>
          <w:rFonts w:hint="cs"/>
          <w:rtl/>
        </w:rPr>
        <w:t xml:space="preserve">ומיה </w:t>
      </w:r>
      <w:r w:rsidRPr="009813BB">
        <w:rPr>
          <w:rFonts w:hint="cs"/>
          <w:b/>
          <w:bCs/>
          <w:sz w:val="28"/>
          <w:szCs w:val="28"/>
          <w:rtl/>
        </w:rPr>
        <w:t>ה</w:t>
      </w:r>
      <w:r w:rsidRPr="00D91656">
        <w:rPr>
          <w:rStyle w:val="a6"/>
          <w:rFonts w:hint="cs"/>
          <w:rtl/>
        </w:rPr>
        <w:t>חש</w:t>
      </w:r>
      <w:r w:rsidRPr="009813BB">
        <w:rPr>
          <w:rFonts w:hint="cs"/>
          <w:rtl/>
        </w:rPr>
        <w:t>תי"</w:t>
      </w:r>
      <w:r w:rsidRPr="008636EE">
        <w:rPr>
          <w:rStyle w:val="a3"/>
          <w:rtl/>
        </w:rPr>
        <w:endnoteReference w:id="3"/>
      </w:r>
      <w:r w:rsidRPr="009813BB">
        <w:rPr>
          <w:rFonts w:hint="cs"/>
          <w:rtl/>
        </w:rPr>
        <w:t>. ימי ההטהרות הם ימי הבדלה, בהם יש להבדיל "בין דם [טמא] לדם [טהור]"</w:t>
      </w:r>
      <w:r w:rsidRPr="008636EE">
        <w:rPr>
          <w:rStyle w:val="a3"/>
          <w:rtl/>
        </w:rPr>
        <w:endnoteReference w:id="4"/>
      </w:r>
      <w:r w:rsidRPr="009813BB">
        <w:rPr>
          <w:rFonts w:hint="cs"/>
          <w:rtl/>
        </w:rPr>
        <w:t>, עד לטבילה המטהרת ומפרישה את האשה מטומאתה ("מל" של כריתה והבדלה</w:t>
      </w:r>
      <w:r w:rsidRPr="008636EE">
        <w:rPr>
          <w:rStyle w:val="a3"/>
          <w:rtl/>
        </w:rPr>
        <w:endnoteReference w:id="5"/>
      </w:r>
      <w:r w:rsidRPr="009813BB">
        <w:rPr>
          <w:rFonts w:hint="cs"/>
          <w:rtl/>
        </w:rPr>
        <w:t>). ימי הטהרה, בהם מתחולל היחוד הקדוש, הם ימי המתקה ("מל" מלשון דבור, אחד מלשונות חז"ל ביחס לזיווג</w:t>
      </w:r>
      <w:r w:rsidRPr="008636EE">
        <w:rPr>
          <w:rStyle w:val="a3"/>
          <w:rtl/>
        </w:rPr>
        <w:endnoteReference w:id="6"/>
      </w:r>
      <w:r w:rsidRPr="009813BB">
        <w:rPr>
          <w:rFonts w:hint="cs"/>
          <w:rtl/>
        </w:rPr>
        <w:t xml:space="preserve">). בפרטות </w:t>
      </w:r>
      <w:r>
        <w:rPr>
          <w:rFonts w:hint="cs"/>
          <w:rtl/>
        </w:rPr>
        <w:t>יותר, ישנה התכללות של הכנעה-הבדלה-המתקה בכל אחד מהחלקים בפני עצמו. זהו מחזור הסובב שוב ושוב, בתהליך ספיראלי של עליה מתמדת</w:t>
      </w:r>
      <w:r w:rsidRPr="008636EE">
        <w:rPr>
          <w:rStyle w:val="a3"/>
          <w:rtl/>
        </w:rPr>
        <w:endnoteReference w:id="7"/>
      </w:r>
      <w:r>
        <w:rPr>
          <w:rFonts w:hint="cs"/>
          <w:rtl/>
        </w:rPr>
        <w:t xml:space="preserve">. </w:t>
      </w:r>
    </w:p>
    <w:p w:rsidR="001E4BF7" w:rsidRDefault="001E4BF7" w:rsidP="001E4BF7">
      <w:pPr>
        <w:rPr>
          <w:rFonts w:hint="cs"/>
          <w:rtl/>
        </w:rPr>
      </w:pPr>
      <w:r>
        <w:rPr>
          <w:rFonts w:hint="cs"/>
          <w:rtl/>
        </w:rPr>
        <w:t>לכאורה, כאשר היחוד משיג את מטרתו בשלמות וזוכים להריון</w:t>
      </w:r>
      <w:r w:rsidRPr="008636EE">
        <w:rPr>
          <w:rStyle w:val="a3"/>
          <w:rtl/>
        </w:rPr>
        <w:endnoteReference w:id="8"/>
      </w:r>
      <w:r>
        <w:rPr>
          <w:rFonts w:hint="cs"/>
          <w:rtl/>
        </w:rPr>
        <w:t xml:space="preserve"> נקטע המעגל של הכנעה-הבדלה-המתקה, שהרי בני הזוג מותרים בכל תקופת ההריון. אמנם, חז"ל</w:t>
      </w:r>
      <w:r w:rsidRPr="008636EE">
        <w:rPr>
          <w:rStyle w:val="a3"/>
          <w:rtl/>
        </w:rPr>
        <w:endnoteReference w:id="9"/>
      </w:r>
      <w:r>
        <w:rPr>
          <w:rFonts w:hint="cs"/>
          <w:rtl/>
        </w:rPr>
        <w:t xml:space="preserve"> מחלקים את תקופת ההריון לשלשה חלקים בני שלשה חדשים:</w:t>
      </w:r>
    </w:p>
    <w:p w:rsidR="001E4BF7" w:rsidRDefault="001E4BF7" w:rsidP="001E4BF7">
      <w:pPr>
        <w:pStyle w:val="a4"/>
        <w:rPr>
          <w:rFonts w:hint="cs"/>
          <w:rtl/>
        </w:rPr>
      </w:pPr>
      <w:r>
        <w:rPr>
          <w:rtl/>
        </w:rPr>
        <w:t>תנו רבנן</w:t>
      </w:r>
      <w:r>
        <w:rPr>
          <w:rFonts w:hint="cs"/>
          <w:rtl/>
        </w:rPr>
        <w:t>:</w:t>
      </w:r>
      <w:r>
        <w:rPr>
          <w:rtl/>
        </w:rPr>
        <w:t xml:space="preserve"> שלשה חדשים הראשונים ולד דר במדור התחתון</w:t>
      </w:r>
      <w:r>
        <w:rPr>
          <w:rFonts w:hint="cs"/>
          <w:rtl/>
        </w:rPr>
        <w:t>,</w:t>
      </w:r>
      <w:r>
        <w:rPr>
          <w:rtl/>
        </w:rPr>
        <w:t xml:space="preserve"> אמצעיים ולד דר במדור האמצעי</w:t>
      </w:r>
      <w:r>
        <w:rPr>
          <w:rFonts w:hint="cs"/>
          <w:rtl/>
        </w:rPr>
        <w:t>,</w:t>
      </w:r>
      <w:r>
        <w:rPr>
          <w:rtl/>
        </w:rPr>
        <w:t xml:space="preserve"> אחרונים ולד דר במדור העליון</w:t>
      </w:r>
      <w:r>
        <w:rPr>
          <w:rFonts w:hint="cs"/>
          <w:rtl/>
        </w:rPr>
        <w:t>,</w:t>
      </w:r>
      <w:r>
        <w:rPr>
          <w:rtl/>
        </w:rPr>
        <w:t xml:space="preserve"> וכיון שהגיע זמנו לצאת מתהפך ויוצא</w:t>
      </w:r>
      <w:r>
        <w:rPr>
          <w:rFonts w:hint="cs"/>
          <w:rtl/>
        </w:rPr>
        <w:t>...</w:t>
      </w:r>
      <w:r>
        <w:rPr>
          <w:rtl/>
        </w:rPr>
        <w:t xml:space="preserve"> תנו רבנן</w:t>
      </w:r>
      <w:r>
        <w:rPr>
          <w:rFonts w:hint="cs"/>
          <w:rtl/>
        </w:rPr>
        <w:t>:</w:t>
      </w:r>
      <w:r>
        <w:rPr>
          <w:rtl/>
        </w:rPr>
        <w:t xml:space="preserve"> שלשה חדשים הראשונים תשמיש קשה לאשה וגם קשה לולד</w:t>
      </w:r>
      <w:r>
        <w:rPr>
          <w:rFonts w:hint="cs"/>
          <w:rtl/>
        </w:rPr>
        <w:t>,</w:t>
      </w:r>
      <w:r>
        <w:rPr>
          <w:rtl/>
        </w:rPr>
        <w:t xml:space="preserve"> אמצעיים קשה לאשה ויפה לולד</w:t>
      </w:r>
      <w:r>
        <w:rPr>
          <w:rFonts w:hint="cs"/>
          <w:rtl/>
        </w:rPr>
        <w:t>,</w:t>
      </w:r>
      <w:r>
        <w:rPr>
          <w:rtl/>
        </w:rPr>
        <w:t xml:space="preserve"> אחרונים יפה לאשה ויפה לולד</w:t>
      </w:r>
      <w:r>
        <w:rPr>
          <w:rFonts w:hint="cs"/>
          <w:rtl/>
        </w:rPr>
        <w:t>,</w:t>
      </w:r>
      <w:r>
        <w:rPr>
          <w:rtl/>
        </w:rPr>
        <w:t xml:space="preserve"> שמתוך כך נמצא הולד מלובן ומזורז</w:t>
      </w:r>
      <w:r>
        <w:rPr>
          <w:rFonts w:hint="cs"/>
          <w:rtl/>
        </w:rPr>
        <w:t>.</w:t>
      </w:r>
      <w:r>
        <w:rPr>
          <w:rtl/>
        </w:rPr>
        <w:t xml:space="preserve"> </w:t>
      </w:r>
    </w:p>
    <w:p w:rsidR="001E4BF7" w:rsidRDefault="001E4BF7" w:rsidP="001E4BF7">
      <w:pPr>
        <w:rPr>
          <w:rFonts w:hint="cs"/>
          <w:rtl/>
        </w:rPr>
      </w:pPr>
      <w:r>
        <w:rPr>
          <w:rFonts w:hint="cs"/>
          <w:rtl/>
        </w:rPr>
        <w:t>חלוקה כזו קוראת באופן מובהק לחשוף גם בתוכה מבנה יסודי של הכנעה-הבדלה-המתקה שכל חלק שבו מתחלק בעצמו לשלשת החלקים [בפרטות, שני המאמרים קשורים זה בזה</w:t>
      </w:r>
      <w:bookmarkStart w:id="0" w:name="_Ref300759854"/>
      <w:r w:rsidRPr="008636EE">
        <w:rPr>
          <w:rStyle w:val="a3"/>
          <w:rtl/>
        </w:rPr>
        <w:endnoteReference w:id="10"/>
      </w:r>
      <w:bookmarkEnd w:id="0"/>
      <w:r>
        <w:rPr>
          <w:rFonts w:hint="cs"/>
          <w:rtl/>
        </w:rPr>
        <w:t xml:space="preserve">, אך הראשון מתאר את ה'עובדות', היכן נמצא הולד בכל שלב, ואילו השני מתאר את ה'עבודה' ביחוד בני הזוג באותה תקופה. במבנים הפנימיים, המאמר הראשון מתאר </w:t>
      </w:r>
      <w:r>
        <w:rPr>
          <w:rFonts w:hint="cs"/>
          <w:rtl/>
        </w:rPr>
        <w:lastRenderedPageBreak/>
        <w:t>מבנה של עולמות-נשמות-אלקות</w:t>
      </w:r>
      <w:r w:rsidRPr="008636EE">
        <w:rPr>
          <w:rStyle w:val="a3"/>
          <w:rtl/>
        </w:rPr>
        <w:endnoteReference w:id="11"/>
      </w:r>
      <w:r>
        <w:rPr>
          <w:rFonts w:hint="cs"/>
          <w:rtl/>
        </w:rPr>
        <w:t>, שהם המדור התחתון, האמצעי והעליון של כל מציאות</w:t>
      </w:r>
      <w:r w:rsidRPr="008636EE">
        <w:rPr>
          <w:rStyle w:val="a3"/>
          <w:rtl/>
        </w:rPr>
        <w:endnoteReference w:id="12"/>
      </w:r>
      <w:r>
        <w:rPr>
          <w:rFonts w:hint="cs"/>
          <w:rtl/>
        </w:rPr>
        <w:t xml:space="preserve"> (או, מלמעלה למטה, אורות-ניצוצות-כלים בלשון האריז"ל</w:t>
      </w:r>
      <w:r w:rsidRPr="008636EE">
        <w:rPr>
          <w:rStyle w:val="a3"/>
          <w:rtl/>
        </w:rPr>
        <w:endnoteReference w:id="13"/>
      </w:r>
      <w:r>
        <w:rPr>
          <w:rFonts w:hint="cs"/>
          <w:rtl/>
        </w:rPr>
        <w:t>), ואילו המאמר השני מתאר סדר עבודה של הכנעה-הבדלה-המתקה הנדרשים בעבודת האדם המכוונת כנגד שלש הקומות של המציאות</w:t>
      </w:r>
      <w:r w:rsidRPr="008636EE">
        <w:rPr>
          <w:rStyle w:val="a3"/>
          <w:rtl/>
        </w:rPr>
        <w:endnoteReference w:id="14"/>
      </w:r>
      <w:r>
        <w:rPr>
          <w:rFonts w:hint="cs"/>
          <w:rtl/>
        </w:rPr>
        <w:t>, ודוק].</w:t>
      </w:r>
    </w:p>
    <w:p w:rsidR="001E4BF7" w:rsidRDefault="001E4BF7" w:rsidP="001E4BF7">
      <w:pPr>
        <w:rPr>
          <w:rFonts w:hint="cs"/>
          <w:rtl/>
        </w:rPr>
      </w:pPr>
      <w:r>
        <w:rPr>
          <w:rFonts w:hint="cs"/>
          <w:rtl/>
        </w:rPr>
        <w:t>מיד אחרי שני המאמרים המתארים את החלוקה הפנימית של תקופת ההריון מופיע המאמר המפורסם "</w:t>
      </w:r>
      <w:r>
        <w:rPr>
          <w:rtl/>
        </w:rPr>
        <w:t>תנו רבנן שלשה שותפין יש באדם הקדוש ברוך הוא ואביו ואמו</w:t>
      </w:r>
      <w:r>
        <w:rPr>
          <w:rFonts w:hint="cs"/>
          <w:rtl/>
        </w:rPr>
        <w:t xml:space="preserve">...". לפי זה יש לומר כי גם המאמר השלישי נשזר בשני הראשונים, כאשר שלשת החדשים הראשונים שייכים לשותף הראשון, הקדוש ברוך הוא, שלשת החדשים השניים לאבא ושלשת החדשים השלישיים לאמא (ובסדר הספירות היינו כתר-חכמה-בינה </w:t>
      </w:r>
      <w:r>
        <w:rPr>
          <w:rtl/>
        </w:rPr>
        <w:t>–</w:t>
      </w:r>
      <w:r>
        <w:rPr>
          <w:rFonts w:hint="cs"/>
          <w:rtl/>
        </w:rPr>
        <w:t xml:space="preserve"> הקב"ה כנגד הכתר החופף על שני ההורים, החכמה היא פרצוף אבא והבינה פרצוף אמא, כפשוט). </w:t>
      </w:r>
    </w:p>
    <w:p w:rsidR="001E4BF7" w:rsidRDefault="001E4BF7" w:rsidP="001E4BF7">
      <w:pPr>
        <w:rPr>
          <w:rFonts w:hint="cs"/>
          <w:rtl/>
        </w:rPr>
      </w:pPr>
      <w:r>
        <w:rPr>
          <w:rFonts w:hint="cs"/>
          <w:rtl/>
        </w:rPr>
        <w:t xml:space="preserve">בשלשת החדשים הראשונים חשים הכנעה כלפי הקדוש ברוך הוא </w:t>
      </w:r>
      <w:r>
        <w:rPr>
          <w:rtl/>
        </w:rPr>
        <w:t>–</w:t>
      </w:r>
      <w:r>
        <w:rPr>
          <w:rFonts w:hint="cs"/>
          <w:rtl/>
        </w:rPr>
        <w:t xml:space="preserve"> אין לאב ולאם מה 'להתערב' בתהליך יצירת הולד (שפעמים רבות עדיין אינו מודע להם), "כי אבי ואמי עזבוני והוי' יאספני"</w:t>
      </w:r>
      <w:r w:rsidRPr="008636EE">
        <w:rPr>
          <w:rStyle w:val="a3"/>
          <w:rtl/>
        </w:rPr>
        <w:endnoteReference w:id="15"/>
      </w:r>
      <w:r>
        <w:rPr>
          <w:rFonts w:hint="cs"/>
          <w:rtl/>
        </w:rPr>
        <w:t>. העובר חש הכנעה משום שעצם מציאותו תלויה ועומדת בספק, האם חשה הכנעה בשל רגישותה הרבה ותחושותיה השליליות בתקופה זו והאב חש הכנעה כשהוא 'מורחק' מזירת ההתרחשות בידיעה שכל התערבות שלו "קשה</w:t>
      </w:r>
      <w:r w:rsidRPr="000E78AD">
        <w:rPr>
          <w:rFonts w:hint="cs"/>
          <w:rtl/>
        </w:rPr>
        <w:t xml:space="preserve"> לאשה וגם קשה לולד"</w:t>
      </w:r>
      <w:r>
        <w:rPr>
          <w:rFonts w:hint="cs"/>
          <w:rtl/>
        </w:rPr>
        <w:t>.</w:t>
      </w:r>
      <w:r w:rsidRPr="000E78AD">
        <w:rPr>
          <w:rFonts w:hint="cs"/>
          <w:rtl/>
        </w:rPr>
        <w:t xml:space="preserve"> </w:t>
      </w:r>
    </w:p>
    <w:p w:rsidR="001E4BF7" w:rsidRPr="009813BB" w:rsidRDefault="001E4BF7" w:rsidP="001E4BF7">
      <w:pPr>
        <w:rPr>
          <w:rFonts w:hint="cs"/>
          <w:rtl/>
        </w:rPr>
      </w:pPr>
      <w:r>
        <w:rPr>
          <w:rFonts w:hint="cs"/>
          <w:rtl/>
        </w:rPr>
        <w:t>[</w:t>
      </w:r>
      <w:r w:rsidRPr="000E78AD">
        <w:rPr>
          <w:rFonts w:hint="cs"/>
          <w:rtl/>
        </w:rPr>
        <w:t>ובדרך רמז: בביטוי "ה</w:t>
      </w:r>
      <w:r w:rsidRPr="000E78AD">
        <w:rPr>
          <w:rFonts w:hint="cs"/>
          <w:b/>
          <w:bCs/>
          <w:sz w:val="28"/>
          <w:szCs w:val="28"/>
          <w:rtl/>
        </w:rPr>
        <w:t>ק</w:t>
      </w:r>
      <w:r w:rsidRPr="000E78AD">
        <w:rPr>
          <w:rFonts w:hint="cs"/>
          <w:rtl/>
        </w:rPr>
        <w:t>דו</w:t>
      </w:r>
      <w:r w:rsidRPr="000E78AD">
        <w:rPr>
          <w:rFonts w:hint="cs"/>
          <w:b/>
          <w:bCs/>
          <w:sz w:val="28"/>
          <w:szCs w:val="28"/>
          <w:rtl/>
        </w:rPr>
        <w:t>ש</w:t>
      </w:r>
      <w:r w:rsidRPr="000E78AD">
        <w:rPr>
          <w:rFonts w:hint="cs"/>
          <w:rtl/>
        </w:rPr>
        <w:t xml:space="preserve"> ברוך </w:t>
      </w:r>
      <w:r w:rsidRPr="000E78AD">
        <w:rPr>
          <w:rFonts w:hint="cs"/>
          <w:b/>
          <w:bCs/>
          <w:sz w:val="28"/>
          <w:szCs w:val="28"/>
          <w:rtl/>
        </w:rPr>
        <w:t>ה</w:t>
      </w:r>
      <w:r w:rsidRPr="000E78AD">
        <w:rPr>
          <w:rFonts w:hint="cs"/>
          <w:rtl/>
        </w:rPr>
        <w:t xml:space="preserve">וא" רמוזה המלה </w:t>
      </w:r>
      <w:r w:rsidRPr="000E78AD">
        <w:rPr>
          <w:rFonts w:hint="cs"/>
          <w:b/>
          <w:bCs/>
          <w:sz w:val="28"/>
          <w:szCs w:val="28"/>
          <w:rtl/>
        </w:rPr>
        <w:t>קשה</w:t>
      </w:r>
      <w:r w:rsidRPr="000E78AD">
        <w:rPr>
          <w:rFonts w:hint="cs"/>
          <w:rtl/>
        </w:rPr>
        <w:t>, אך כאשר מתגלים בדילוג זה</w:t>
      </w:r>
      <w:r>
        <w:rPr>
          <w:rFonts w:hint="cs"/>
          <w:rtl/>
        </w:rPr>
        <w:t>, הכולל את ה-</w:t>
      </w:r>
      <w:r w:rsidRPr="00833C33">
        <w:rPr>
          <w:rFonts w:hint="cs"/>
          <w:b/>
          <w:bCs/>
          <w:sz w:val="28"/>
          <w:szCs w:val="28"/>
          <w:rtl/>
        </w:rPr>
        <w:t>ה</w:t>
      </w:r>
      <w:r>
        <w:rPr>
          <w:rFonts w:hint="cs"/>
          <w:rtl/>
        </w:rPr>
        <w:t xml:space="preserve"> הראשונה</w:t>
      </w:r>
      <w:r w:rsidRPr="000E78AD">
        <w:rPr>
          <w:rFonts w:hint="cs"/>
          <w:rtl/>
        </w:rPr>
        <w:t xml:space="preserve"> </w:t>
      </w:r>
      <w:r w:rsidRPr="000E78AD">
        <w:rPr>
          <w:rtl/>
        </w:rPr>
        <w:t>–</w:t>
      </w:r>
      <w:r w:rsidRPr="000E78AD">
        <w:rPr>
          <w:rFonts w:hint="cs"/>
          <w:rtl/>
        </w:rPr>
        <w:t xml:space="preserve"> 1-3-5-7 וכו' </w:t>
      </w:r>
      <w:r w:rsidRPr="000E78AD">
        <w:rPr>
          <w:rtl/>
        </w:rPr>
        <w:t>–</w:t>
      </w:r>
      <w:r w:rsidRPr="000E78AD">
        <w:rPr>
          <w:rFonts w:hint="cs"/>
          <w:rtl/>
        </w:rPr>
        <w:t xml:space="preserve"> באופן מעגלי חוזר עד אין סוף הצירוף </w:t>
      </w:r>
      <w:r w:rsidRPr="000E78AD">
        <w:rPr>
          <w:rFonts w:hint="cs"/>
          <w:b/>
          <w:bCs/>
          <w:sz w:val="28"/>
          <w:szCs w:val="28"/>
          <w:rtl/>
        </w:rPr>
        <w:t>קשה</w:t>
      </w:r>
      <w:r w:rsidRPr="000E78AD">
        <w:rPr>
          <w:rFonts w:hint="cs"/>
          <w:rtl/>
        </w:rPr>
        <w:t>-</w:t>
      </w:r>
      <w:r w:rsidRPr="000E78AD">
        <w:rPr>
          <w:rFonts w:hint="cs"/>
          <w:b/>
          <w:bCs/>
          <w:sz w:val="28"/>
          <w:szCs w:val="28"/>
          <w:rtl/>
        </w:rPr>
        <w:t>שקה</w:t>
      </w:r>
      <w:r w:rsidRPr="000E78AD">
        <w:rPr>
          <w:rFonts w:hint="cs"/>
          <w:rtl/>
        </w:rPr>
        <w:t>-</w:t>
      </w:r>
      <w:r w:rsidRPr="000E78AD">
        <w:rPr>
          <w:rFonts w:hint="cs"/>
          <w:b/>
          <w:bCs/>
          <w:sz w:val="28"/>
          <w:szCs w:val="28"/>
          <w:rtl/>
        </w:rPr>
        <w:t>קשה</w:t>
      </w:r>
      <w:r w:rsidRPr="000E78AD">
        <w:rPr>
          <w:rFonts w:hint="cs"/>
          <w:rtl/>
        </w:rPr>
        <w:t>-</w:t>
      </w:r>
      <w:r w:rsidRPr="000E78AD">
        <w:rPr>
          <w:rFonts w:hint="cs"/>
          <w:b/>
          <w:bCs/>
          <w:sz w:val="28"/>
          <w:szCs w:val="28"/>
          <w:rtl/>
        </w:rPr>
        <w:t>שקה</w:t>
      </w:r>
      <w:r w:rsidRPr="000E78AD">
        <w:rPr>
          <w:rFonts w:hint="cs"/>
          <w:rtl/>
        </w:rPr>
        <w:t xml:space="preserve">, לרמז כי הזמן בו הזיווג התחתון-הגופני </w:t>
      </w:r>
      <w:r w:rsidRPr="000E78AD">
        <w:rPr>
          <w:rFonts w:hint="cs"/>
          <w:b/>
          <w:bCs/>
          <w:sz w:val="28"/>
          <w:szCs w:val="28"/>
          <w:rtl/>
        </w:rPr>
        <w:t>קשה</w:t>
      </w:r>
      <w:r w:rsidRPr="000E78AD">
        <w:rPr>
          <w:rFonts w:hint="cs"/>
          <w:rtl/>
        </w:rPr>
        <w:t xml:space="preserve"> י</w:t>
      </w:r>
      <w:r w:rsidRPr="009813BB">
        <w:rPr>
          <w:rFonts w:hint="cs"/>
          <w:rtl/>
        </w:rPr>
        <w:t>ש לעסוק בזיווג העליון-הרוחני, זיווג נשיקין הרמוז ב-</w:t>
      </w:r>
      <w:r w:rsidRPr="009813BB">
        <w:rPr>
          <w:rFonts w:hint="cs"/>
          <w:b/>
          <w:bCs/>
          <w:sz w:val="28"/>
          <w:szCs w:val="28"/>
          <w:rtl/>
        </w:rPr>
        <w:t>שקה</w:t>
      </w:r>
      <w:r w:rsidRPr="009813BB">
        <w:rPr>
          <w:rFonts w:hint="cs"/>
          <w:rtl/>
        </w:rPr>
        <w:t xml:space="preserve"> (</w:t>
      </w:r>
      <w:r w:rsidRPr="009813BB">
        <w:rPr>
          <w:rFonts w:hint="cs"/>
          <w:b/>
          <w:bCs/>
          <w:sz w:val="28"/>
          <w:szCs w:val="28"/>
          <w:rtl/>
        </w:rPr>
        <w:t>קשה</w:t>
      </w:r>
      <w:r w:rsidRPr="009813BB">
        <w:rPr>
          <w:rFonts w:hint="cs"/>
          <w:rtl/>
        </w:rPr>
        <w:t xml:space="preserve"> הוא דילוג דאור ישר ב"ה</w:t>
      </w:r>
      <w:r w:rsidRPr="009813BB">
        <w:rPr>
          <w:rFonts w:hint="cs"/>
          <w:b/>
          <w:bCs/>
          <w:sz w:val="28"/>
          <w:szCs w:val="28"/>
          <w:rtl/>
        </w:rPr>
        <w:t>ק</w:t>
      </w:r>
      <w:r w:rsidRPr="009813BB">
        <w:rPr>
          <w:rFonts w:hint="cs"/>
          <w:rtl/>
        </w:rPr>
        <w:t>דו</w:t>
      </w:r>
      <w:r w:rsidRPr="009813BB">
        <w:rPr>
          <w:rFonts w:hint="cs"/>
          <w:b/>
          <w:bCs/>
          <w:sz w:val="28"/>
          <w:szCs w:val="28"/>
          <w:rtl/>
        </w:rPr>
        <w:t>ש</w:t>
      </w:r>
      <w:r w:rsidRPr="009813BB">
        <w:rPr>
          <w:rFonts w:hint="cs"/>
          <w:rtl/>
        </w:rPr>
        <w:t xml:space="preserve"> ברוך </w:t>
      </w:r>
      <w:r w:rsidRPr="009813BB">
        <w:rPr>
          <w:rFonts w:hint="cs"/>
          <w:b/>
          <w:bCs/>
          <w:sz w:val="28"/>
          <w:szCs w:val="28"/>
          <w:rtl/>
        </w:rPr>
        <w:t>ה</w:t>
      </w:r>
      <w:r w:rsidRPr="009813BB">
        <w:rPr>
          <w:rFonts w:hint="cs"/>
          <w:rtl/>
        </w:rPr>
        <w:t>וא" ו-</w:t>
      </w:r>
      <w:r w:rsidRPr="009813BB">
        <w:rPr>
          <w:rFonts w:hint="cs"/>
          <w:b/>
          <w:bCs/>
          <w:sz w:val="28"/>
          <w:szCs w:val="28"/>
          <w:rtl/>
        </w:rPr>
        <w:t>שקה</w:t>
      </w:r>
      <w:r w:rsidRPr="009813BB">
        <w:rPr>
          <w:rFonts w:hint="cs"/>
          <w:rtl/>
        </w:rPr>
        <w:t xml:space="preserve"> דילוג דאור חוזר ב"</w:t>
      </w:r>
      <w:r w:rsidRPr="009813BB">
        <w:rPr>
          <w:rFonts w:hint="cs"/>
          <w:b/>
          <w:bCs/>
          <w:sz w:val="28"/>
          <w:szCs w:val="28"/>
          <w:rtl/>
        </w:rPr>
        <w:t>הק</w:t>
      </w:r>
      <w:r w:rsidRPr="009813BB">
        <w:rPr>
          <w:rFonts w:hint="cs"/>
          <w:rtl/>
        </w:rPr>
        <w:t>דו</w:t>
      </w:r>
      <w:r w:rsidRPr="009813BB">
        <w:rPr>
          <w:rFonts w:hint="cs"/>
          <w:b/>
          <w:bCs/>
          <w:sz w:val="28"/>
          <w:szCs w:val="28"/>
          <w:rtl/>
        </w:rPr>
        <w:t>ש</w:t>
      </w:r>
      <w:r w:rsidRPr="009813BB">
        <w:rPr>
          <w:rFonts w:hint="cs"/>
          <w:rtl/>
        </w:rPr>
        <w:t xml:space="preserve"> ברוך הוא", בסוד חיה-יחידה, מקיף דאור ישר ומקיף דאור חוזר, בעצם קדושת אוא"ס הסוכ"ע, וד"ל). שאר אותיות "</w:t>
      </w:r>
      <w:r w:rsidRPr="009813BB">
        <w:rPr>
          <w:rFonts w:hint="cs"/>
          <w:b/>
          <w:bCs/>
          <w:sz w:val="28"/>
          <w:szCs w:val="28"/>
          <w:rtl/>
        </w:rPr>
        <w:t>ה</w:t>
      </w:r>
      <w:r w:rsidRPr="009813BB">
        <w:rPr>
          <w:rFonts w:hint="cs"/>
          <w:rtl/>
        </w:rPr>
        <w:t>ק</w:t>
      </w:r>
      <w:r w:rsidRPr="009813BB">
        <w:rPr>
          <w:rFonts w:hint="cs"/>
          <w:b/>
          <w:bCs/>
          <w:sz w:val="28"/>
          <w:szCs w:val="28"/>
          <w:rtl/>
        </w:rPr>
        <w:t>דו</w:t>
      </w:r>
      <w:r w:rsidRPr="009813BB">
        <w:rPr>
          <w:rFonts w:hint="cs"/>
          <w:rtl/>
        </w:rPr>
        <w:t xml:space="preserve">ש </w:t>
      </w:r>
      <w:r w:rsidRPr="009813BB">
        <w:rPr>
          <w:rFonts w:hint="cs"/>
          <w:b/>
          <w:bCs/>
          <w:sz w:val="28"/>
          <w:szCs w:val="28"/>
          <w:rtl/>
        </w:rPr>
        <w:t>ברוך</w:t>
      </w:r>
      <w:r w:rsidRPr="009813BB">
        <w:rPr>
          <w:rFonts w:hint="cs"/>
          <w:rtl/>
        </w:rPr>
        <w:t xml:space="preserve"> ה</w:t>
      </w:r>
      <w:r w:rsidRPr="009813BB">
        <w:rPr>
          <w:rFonts w:hint="cs"/>
          <w:b/>
          <w:bCs/>
          <w:sz w:val="28"/>
          <w:szCs w:val="28"/>
          <w:rtl/>
        </w:rPr>
        <w:t>וא</w:t>
      </w:r>
      <w:r w:rsidRPr="009813BB">
        <w:rPr>
          <w:rFonts w:hint="cs"/>
          <w:rtl/>
        </w:rPr>
        <w:t xml:space="preserve">" עולות </w:t>
      </w:r>
      <w:r w:rsidRPr="009813BB">
        <w:rPr>
          <w:rFonts w:hint="cs"/>
          <w:b/>
          <w:bCs/>
          <w:sz w:val="28"/>
          <w:szCs w:val="28"/>
          <w:rtl/>
        </w:rPr>
        <w:t>נר</w:t>
      </w:r>
      <w:r w:rsidRPr="009813BB">
        <w:rPr>
          <w:rFonts w:hint="cs"/>
          <w:rtl/>
        </w:rPr>
        <w:t>, היינו ש"</w:t>
      </w:r>
      <w:r w:rsidRPr="009813BB">
        <w:rPr>
          <w:rFonts w:hint="cs"/>
          <w:b/>
          <w:bCs/>
          <w:sz w:val="28"/>
          <w:szCs w:val="28"/>
          <w:rtl/>
        </w:rPr>
        <w:t>הקדוש</w:t>
      </w:r>
      <w:r w:rsidRPr="009813BB">
        <w:rPr>
          <w:rFonts w:hint="cs"/>
          <w:rtl/>
        </w:rPr>
        <w:t xml:space="preserve"> </w:t>
      </w:r>
      <w:r w:rsidRPr="009813BB">
        <w:rPr>
          <w:rFonts w:hint="cs"/>
          <w:b/>
          <w:bCs/>
          <w:sz w:val="28"/>
          <w:szCs w:val="28"/>
          <w:rtl/>
        </w:rPr>
        <w:t>ברוך</w:t>
      </w:r>
      <w:r w:rsidRPr="009813BB">
        <w:rPr>
          <w:rFonts w:hint="cs"/>
          <w:rtl/>
        </w:rPr>
        <w:t xml:space="preserve"> </w:t>
      </w:r>
      <w:r w:rsidRPr="009813BB">
        <w:rPr>
          <w:rFonts w:hint="cs"/>
          <w:b/>
          <w:bCs/>
          <w:sz w:val="28"/>
          <w:szCs w:val="28"/>
          <w:rtl/>
        </w:rPr>
        <w:t>הוא</w:t>
      </w:r>
      <w:r w:rsidRPr="009813BB">
        <w:rPr>
          <w:rFonts w:hint="cs"/>
          <w:rtl/>
        </w:rPr>
        <w:t xml:space="preserve">" הוא </w:t>
      </w:r>
      <w:r w:rsidRPr="009813BB">
        <w:rPr>
          <w:rFonts w:hint="cs"/>
          <w:b/>
          <w:bCs/>
          <w:sz w:val="28"/>
          <w:szCs w:val="28"/>
          <w:rtl/>
        </w:rPr>
        <w:t>נר</w:t>
      </w:r>
      <w:r w:rsidRPr="009813BB">
        <w:rPr>
          <w:rFonts w:hint="cs"/>
          <w:rtl/>
        </w:rPr>
        <w:t xml:space="preserve"> </w:t>
      </w:r>
      <w:r w:rsidRPr="009813BB">
        <w:rPr>
          <w:rFonts w:hint="cs"/>
          <w:b/>
          <w:bCs/>
          <w:sz w:val="28"/>
          <w:szCs w:val="28"/>
          <w:rtl/>
        </w:rPr>
        <w:t>קשה</w:t>
      </w:r>
      <w:r w:rsidRPr="009813BB">
        <w:rPr>
          <w:rFonts w:hint="cs"/>
          <w:rtl/>
        </w:rPr>
        <w:t>, סוד "בוצינא דקרדוניתא"</w:t>
      </w:r>
      <w:r w:rsidRPr="008636EE">
        <w:rPr>
          <w:rStyle w:val="a3"/>
          <w:rtl/>
        </w:rPr>
        <w:endnoteReference w:id="16"/>
      </w:r>
      <w:r w:rsidRPr="009813BB">
        <w:rPr>
          <w:rFonts w:hint="cs"/>
          <w:rtl/>
        </w:rPr>
        <w:t>, קו המדה</w:t>
      </w:r>
      <w:r w:rsidRPr="008636EE">
        <w:rPr>
          <w:rStyle w:val="a3"/>
          <w:rtl/>
        </w:rPr>
        <w:endnoteReference w:id="17"/>
      </w:r>
      <w:r w:rsidRPr="009813BB">
        <w:rPr>
          <w:rFonts w:hint="cs"/>
          <w:rtl/>
        </w:rPr>
        <w:t xml:space="preserve"> היוצר ומצייר את הולד, וד"ל.]</w:t>
      </w:r>
    </w:p>
    <w:p w:rsidR="001E4BF7" w:rsidRDefault="001E4BF7" w:rsidP="001E4BF7">
      <w:pPr>
        <w:rPr>
          <w:rFonts w:hint="cs"/>
          <w:rtl/>
        </w:rPr>
      </w:pPr>
      <w:r>
        <w:rPr>
          <w:rFonts w:hint="cs"/>
          <w:rtl/>
        </w:rPr>
        <w:lastRenderedPageBreak/>
        <w:t>כאשר האב בכל זאת משמש את מטתו</w:t>
      </w:r>
      <w:r w:rsidRPr="008636EE">
        <w:rPr>
          <w:rStyle w:val="a3"/>
          <w:rtl/>
        </w:rPr>
        <w:endnoteReference w:id="18"/>
      </w:r>
      <w:r>
        <w:rPr>
          <w:rFonts w:hint="cs"/>
          <w:rtl/>
        </w:rPr>
        <w:t xml:space="preserve"> בתקופה זו, עליו לעשות זאת מתוך תחושה שהוא פתי התלוי לגמרי בשמירת ה', כהמשך דברי הגמרא ביחס לקושי וסכנת התשמיש ביום האחרון של שלשת החדשים הראשונים</w:t>
      </w:r>
      <w:bookmarkStart w:id="1" w:name="_Ref300771373"/>
      <w:r w:rsidRPr="008636EE">
        <w:rPr>
          <w:rStyle w:val="a3"/>
          <w:rtl/>
        </w:rPr>
        <w:endnoteReference w:id="19"/>
      </w:r>
      <w:bookmarkEnd w:id="1"/>
      <w:r>
        <w:rPr>
          <w:rFonts w:hint="cs"/>
          <w:rtl/>
        </w:rPr>
        <w:t>: "משמש והולך כדרכו, שנאמר 'ש</w:t>
      </w:r>
      <w:r>
        <w:rPr>
          <w:rFonts w:hint="eastAsia"/>
          <w:rtl/>
        </w:rPr>
        <w:t>ֹ</w:t>
      </w:r>
      <w:r>
        <w:rPr>
          <w:rFonts w:hint="cs"/>
          <w:rtl/>
        </w:rPr>
        <w:t xml:space="preserve">מר </w:t>
      </w:r>
      <w:r w:rsidRPr="000E78AD">
        <w:rPr>
          <w:rFonts w:hint="cs"/>
          <w:rtl/>
        </w:rPr>
        <w:t>פתאים הוי''</w:t>
      </w:r>
      <w:r w:rsidRPr="008636EE">
        <w:rPr>
          <w:rStyle w:val="a3"/>
          <w:rtl/>
        </w:rPr>
        <w:endnoteReference w:id="20"/>
      </w:r>
      <w:r w:rsidRPr="000E78AD">
        <w:rPr>
          <w:rFonts w:hint="cs"/>
          <w:rtl/>
        </w:rPr>
        <w:t>" [סכנת היום התשעים דווקא היא בהיותו נקודת המעבר מאין ליש</w:t>
      </w:r>
      <w:r w:rsidRPr="008636EE">
        <w:rPr>
          <w:rStyle w:val="a3"/>
          <w:rtl/>
        </w:rPr>
        <w:endnoteReference w:id="21"/>
      </w:r>
      <w:r w:rsidRPr="000E78AD">
        <w:rPr>
          <w:rFonts w:hint="cs"/>
          <w:rtl/>
        </w:rPr>
        <w:t>, מידי הקב"ה לידי בשר ודם. אז יש להתעצם עם ההכרה ש"אין מזל לישראל"</w:t>
      </w:r>
      <w:r w:rsidRPr="008636EE">
        <w:rPr>
          <w:rStyle w:val="a3"/>
          <w:rtl/>
        </w:rPr>
        <w:endnoteReference w:id="22"/>
      </w:r>
      <w:r w:rsidRPr="000E78AD">
        <w:rPr>
          <w:rFonts w:hint="cs"/>
          <w:rtl/>
        </w:rPr>
        <w:t>, כפירושו של מורנו הבעל שם טוב</w:t>
      </w:r>
      <w:r w:rsidRPr="008636EE">
        <w:rPr>
          <w:rStyle w:val="a3"/>
          <w:rtl/>
        </w:rPr>
        <w:endnoteReference w:id="23"/>
      </w:r>
      <w:r w:rsidRPr="000E78AD">
        <w:rPr>
          <w:rFonts w:hint="cs"/>
          <w:rtl/>
        </w:rPr>
        <w:t xml:space="preserve"> שה"אַיִן" העליון הוא-הוא ה"מזל לישראל". </w:t>
      </w:r>
      <w:r w:rsidRPr="000E78AD">
        <w:rPr>
          <w:rFonts w:hint="cs"/>
          <w:b/>
          <w:bCs/>
          <w:sz w:val="28"/>
          <w:szCs w:val="28"/>
          <w:rtl/>
        </w:rPr>
        <w:t>ישראל</w:t>
      </w:r>
      <w:r w:rsidRPr="000E78AD">
        <w:rPr>
          <w:rFonts w:hint="cs"/>
          <w:rtl/>
        </w:rPr>
        <w:t xml:space="preserve"> רומז לאבות והאמהות</w:t>
      </w:r>
      <w:r w:rsidRPr="008636EE">
        <w:rPr>
          <w:rStyle w:val="a3"/>
          <w:rtl/>
        </w:rPr>
        <w:endnoteReference w:id="24"/>
      </w:r>
      <w:r w:rsidRPr="000E78AD">
        <w:rPr>
          <w:rFonts w:hint="cs"/>
          <w:rtl/>
        </w:rPr>
        <w:t xml:space="preserve">, </w:t>
      </w:r>
      <w:r w:rsidRPr="000E78AD">
        <w:rPr>
          <w:rFonts w:hint="cs"/>
          <w:b/>
          <w:bCs/>
          <w:sz w:val="28"/>
          <w:szCs w:val="28"/>
          <w:rtl/>
        </w:rPr>
        <w:t>א</w:t>
      </w:r>
      <w:r w:rsidRPr="000E78AD">
        <w:rPr>
          <w:rFonts w:hint="cs"/>
          <w:rtl/>
        </w:rPr>
        <w:t>ברהם-</w:t>
      </w:r>
      <w:r w:rsidRPr="000E78AD">
        <w:rPr>
          <w:rFonts w:hint="cs"/>
          <w:b/>
          <w:bCs/>
          <w:sz w:val="28"/>
          <w:szCs w:val="28"/>
          <w:rtl/>
        </w:rPr>
        <w:t>י</w:t>
      </w:r>
      <w:r w:rsidRPr="000E78AD">
        <w:rPr>
          <w:rFonts w:hint="cs"/>
          <w:rtl/>
        </w:rPr>
        <w:t>צחק-</w:t>
      </w:r>
      <w:r w:rsidRPr="000E78AD">
        <w:rPr>
          <w:rFonts w:hint="cs"/>
          <w:b/>
          <w:bCs/>
          <w:sz w:val="28"/>
          <w:szCs w:val="28"/>
          <w:rtl/>
        </w:rPr>
        <w:t>י</w:t>
      </w:r>
      <w:r w:rsidRPr="000E78AD">
        <w:rPr>
          <w:rFonts w:hint="cs"/>
          <w:rtl/>
        </w:rPr>
        <w:t>עקב-</w:t>
      </w:r>
      <w:r w:rsidRPr="000E78AD">
        <w:rPr>
          <w:rFonts w:hint="cs"/>
          <w:b/>
          <w:bCs/>
          <w:sz w:val="28"/>
          <w:szCs w:val="28"/>
          <w:rtl/>
        </w:rPr>
        <w:t>ש</w:t>
      </w:r>
      <w:r w:rsidRPr="000E78AD">
        <w:rPr>
          <w:rFonts w:hint="cs"/>
          <w:rtl/>
        </w:rPr>
        <w:t>רה-</w:t>
      </w:r>
      <w:r w:rsidRPr="000E78AD">
        <w:rPr>
          <w:rFonts w:hint="cs"/>
          <w:b/>
          <w:bCs/>
          <w:sz w:val="28"/>
          <w:szCs w:val="28"/>
          <w:rtl/>
        </w:rPr>
        <w:t>ר</w:t>
      </w:r>
      <w:r w:rsidRPr="000E78AD">
        <w:rPr>
          <w:rFonts w:hint="cs"/>
          <w:rtl/>
        </w:rPr>
        <w:t>בקה-</w:t>
      </w:r>
      <w:r w:rsidRPr="000E78AD">
        <w:rPr>
          <w:rFonts w:hint="cs"/>
          <w:b/>
          <w:bCs/>
          <w:sz w:val="28"/>
          <w:szCs w:val="28"/>
          <w:rtl/>
        </w:rPr>
        <w:t>ר</w:t>
      </w:r>
      <w:r w:rsidRPr="000E78AD">
        <w:rPr>
          <w:rFonts w:hint="cs"/>
          <w:rtl/>
        </w:rPr>
        <w:t>חל-</w:t>
      </w:r>
      <w:r w:rsidRPr="000E78AD">
        <w:rPr>
          <w:rFonts w:hint="cs"/>
          <w:b/>
          <w:bCs/>
          <w:sz w:val="28"/>
          <w:szCs w:val="28"/>
          <w:rtl/>
        </w:rPr>
        <w:t>ל</w:t>
      </w:r>
      <w:r w:rsidRPr="000E78AD">
        <w:rPr>
          <w:rFonts w:hint="cs"/>
          <w:rtl/>
        </w:rPr>
        <w:t>אה, שעם בטולם לאין האלקי יכולים להתעצם כל אב ואם המקבלים מהם את כח האבהות והאמהות. כאשר מתעצמים עם הכרת "אין מזל לישראל" אכן מתקיים "שומר פתאים הוי'".].</w:t>
      </w:r>
    </w:p>
    <w:p w:rsidR="001E4BF7" w:rsidRPr="009813BB" w:rsidRDefault="001E4BF7" w:rsidP="001E4BF7">
      <w:pPr>
        <w:rPr>
          <w:rFonts w:hint="cs"/>
          <w:rtl/>
        </w:rPr>
      </w:pPr>
      <w:r>
        <w:rPr>
          <w:rFonts w:hint="cs"/>
          <w:rtl/>
        </w:rPr>
        <w:t>בשלשת החדשים השניים, כאשר העובר כבר ניכר, מגיע זמנו של האבא</w:t>
      </w:r>
      <w:r w:rsidRPr="008636EE">
        <w:rPr>
          <w:rStyle w:val="a3"/>
          <w:rtl/>
        </w:rPr>
        <w:endnoteReference w:id="25"/>
      </w:r>
      <w:r>
        <w:rPr>
          <w:rFonts w:hint="cs"/>
          <w:rtl/>
        </w:rPr>
        <w:t xml:space="preserve"> החש כי ה' סייע בידו ואשתו התעברה ממנו (בכלל, ביחס לכל ההריון, האב נבדל ומשקיף מבחוץ על התהליך המתחולל בתוך אשתו). אז עליו לפעול בתוכו הבדלה בין ההודיה לה' מתוך שמחה של מצוה לבין רגשי גאוה שליליים שעלולים לצוץ בו. גם בזווג באותה תקופה, ה"קשה לאשה ויפה לולד", עליו לשמור על רגישות נכונה ולהצליח 'לחזק' את בנו (שכבר יש לו מציאות) מבלי 'לפגוע' באשתו (שעדיין צריכה לצלוח את רובו של ההריון, כאשר כבר מתחילים לחוש בנוכחותו ומשקלו של העובר וטרם</w:t>
      </w:r>
      <w:r w:rsidRPr="009813BB">
        <w:rPr>
          <w:rFonts w:hint="cs"/>
          <w:rtl/>
        </w:rPr>
        <w:t xml:space="preserve"> 'רואים את הסוף' של ההריון). בזמן זה בפרט נכללת כוונת הזיווג</w:t>
      </w:r>
      <w:r w:rsidRPr="008636EE">
        <w:rPr>
          <w:rStyle w:val="a3"/>
          <w:rtl/>
        </w:rPr>
        <w:endnoteReference w:id="26"/>
      </w:r>
      <w:r w:rsidRPr="009813BB">
        <w:rPr>
          <w:rFonts w:hint="cs"/>
          <w:rtl/>
        </w:rPr>
        <w:t xml:space="preserve"> בקיום מצות "פרו ורבו"</w:t>
      </w:r>
      <w:r w:rsidRPr="008636EE">
        <w:rPr>
          <w:rStyle w:val="a3"/>
          <w:rtl/>
        </w:rPr>
        <w:endnoteReference w:id="27"/>
      </w:r>
      <w:r w:rsidRPr="009813BB">
        <w:rPr>
          <w:rFonts w:hint="cs"/>
          <w:rtl/>
        </w:rPr>
        <w:t xml:space="preserve">, להטבת וחיזוק הולד (בעוד שבחדשים האחרונים, בהם התשמיש יפה גם לאם, יש בה גם משום קיום מצות עונה), והרמז: </w:t>
      </w:r>
      <w:r w:rsidRPr="009813BB">
        <w:rPr>
          <w:rFonts w:hint="cs"/>
          <w:b/>
          <w:bCs/>
          <w:sz w:val="28"/>
          <w:szCs w:val="28"/>
          <w:rtl/>
        </w:rPr>
        <w:t>קשה</w:t>
      </w:r>
      <w:r w:rsidRPr="009813BB">
        <w:rPr>
          <w:rFonts w:hint="cs"/>
          <w:rtl/>
        </w:rPr>
        <w:t>-</w:t>
      </w:r>
      <w:r w:rsidRPr="009813BB">
        <w:rPr>
          <w:rFonts w:hint="cs"/>
          <w:b/>
          <w:bCs/>
          <w:sz w:val="28"/>
          <w:szCs w:val="28"/>
          <w:rtl/>
        </w:rPr>
        <w:t>יפה</w:t>
      </w:r>
      <w:r w:rsidRPr="009813BB">
        <w:rPr>
          <w:rFonts w:hint="cs"/>
          <w:rtl/>
        </w:rPr>
        <w:t xml:space="preserve"> עולה "</w:t>
      </w:r>
      <w:r w:rsidRPr="009813BB">
        <w:rPr>
          <w:rFonts w:hint="cs"/>
          <w:b/>
          <w:bCs/>
          <w:sz w:val="28"/>
          <w:szCs w:val="28"/>
          <w:rtl/>
        </w:rPr>
        <w:t>פרו</w:t>
      </w:r>
      <w:r w:rsidRPr="009813BB">
        <w:rPr>
          <w:rFonts w:hint="cs"/>
          <w:rtl/>
        </w:rPr>
        <w:t xml:space="preserve"> </w:t>
      </w:r>
      <w:r w:rsidRPr="009813BB">
        <w:rPr>
          <w:rFonts w:hint="cs"/>
          <w:b/>
          <w:bCs/>
          <w:sz w:val="28"/>
          <w:szCs w:val="28"/>
          <w:rtl/>
        </w:rPr>
        <w:t>ורבו</w:t>
      </w:r>
      <w:r w:rsidRPr="009813BB">
        <w:rPr>
          <w:rFonts w:hint="cs"/>
          <w:rtl/>
        </w:rPr>
        <w:t>".</w:t>
      </w:r>
    </w:p>
    <w:p w:rsidR="001E4BF7" w:rsidRPr="009813BB" w:rsidRDefault="001E4BF7" w:rsidP="001E4BF7">
      <w:pPr>
        <w:rPr>
          <w:rFonts w:hint="cs"/>
          <w:rtl/>
        </w:rPr>
      </w:pPr>
      <w:r>
        <w:rPr>
          <w:rFonts w:hint="cs"/>
          <w:rtl/>
        </w:rPr>
        <w:t xml:space="preserve">שלשת החדשים האחרונים הם הזמן בו גם האמא מתמלאת שמחה, כאשר העובר נשלם והיא מתכוננת לקראת הלידה </w:t>
      </w:r>
      <w:r>
        <w:rPr>
          <w:rtl/>
        </w:rPr>
        <w:t>–</w:t>
      </w:r>
      <w:r>
        <w:rPr>
          <w:rFonts w:hint="cs"/>
          <w:rtl/>
        </w:rPr>
        <w:t xml:space="preserve"> "אם הבנים שמחה"</w:t>
      </w:r>
      <w:r w:rsidRPr="008636EE">
        <w:rPr>
          <w:rStyle w:val="a3"/>
          <w:rtl/>
        </w:rPr>
        <w:endnoteReference w:id="28"/>
      </w:r>
      <w:r>
        <w:rPr>
          <w:rFonts w:hint="cs"/>
          <w:rtl/>
        </w:rPr>
        <w:t>. הגמר הטוב, הזמן בו הולד נשלם וגם האמהיות מגיעה לכלל שלמות, הוא תקופה של המתקה. אז היחוד "יפה לאשה ויפה לולד", כאשר האב והאם מרגישים שכל יחודם נועד רק ללבן עוד את המציאות הטובה שכבר קיימת</w:t>
      </w:r>
      <w:r w:rsidRPr="008636EE">
        <w:rPr>
          <w:rStyle w:val="a3"/>
          <w:rtl/>
        </w:rPr>
        <w:endnoteReference w:id="29"/>
      </w:r>
      <w:r>
        <w:rPr>
          <w:rFonts w:hint="cs"/>
          <w:rtl/>
        </w:rPr>
        <w:t xml:space="preserve"> (ולקראת סוף ההריון היחוד הוא גם בבחינת זירוז הריון ט</w:t>
      </w:r>
      <w:r w:rsidRPr="009813BB">
        <w:rPr>
          <w:rFonts w:hint="cs"/>
          <w:rtl/>
        </w:rPr>
        <w:t xml:space="preserve">בעי, "נמצא הולד מלובן ומזורז"). </w:t>
      </w:r>
      <w:r w:rsidRPr="009813BB">
        <w:rPr>
          <w:rFonts w:hint="cs"/>
          <w:rtl/>
        </w:rPr>
        <w:lastRenderedPageBreak/>
        <w:t xml:space="preserve">[כאן נשלמת הוית הולד, והרמז: כל לשונות חז"ל כאן, בשלש התקופות </w:t>
      </w:r>
      <w:r w:rsidRPr="009813BB">
        <w:rPr>
          <w:rtl/>
        </w:rPr>
        <w:t>–</w:t>
      </w:r>
      <w:r w:rsidRPr="009813BB">
        <w:rPr>
          <w:rFonts w:hint="cs"/>
          <w:rtl/>
        </w:rPr>
        <w:t xml:space="preserve"> </w:t>
      </w:r>
      <w:r w:rsidRPr="009813BB">
        <w:rPr>
          <w:rFonts w:hint="cs"/>
          <w:b/>
          <w:bCs/>
          <w:sz w:val="28"/>
          <w:szCs w:val="28"/>
          <w:rtl/>
        </w:rPr>
        <w:t>קשה</w:t>
      </w:r>
      <w:r w:rsidRPr="009813BB">
        <w:rPr>
          <w:rFonts w:hint="cs"/>
          <w:rtl/>
        </w:rPr>
        <w:t>-</w:t>
      </w:r>
      <w:r w:rsidRPr="009813BB">
        <w:rPr>
          <w:rFonts w:hint="cs"/>
          <w:b/>
          <w:bCs/>
          <w:sz w:val="28"/>
          <w:szCs w:val="28"/>
          <w:rtl/>
        </w:rPr>
        <w:t>קשה</w:t>
      </w:r>
      <w:r w:rsidRPr="009813BB">
        <w:rPr>
          <w:rFonts w:hint="cs"/>
          <w:rtl/>
        </w:rPr>
        <w:t xml:space="preserve">, </w:t>
      </w:r>
      <w:r w:rsidRPr="009813BB">
        <w:rPr>
          <w:rFonts w:hint="cs"/>
          <w:b/>
          <w:bCs/>
          <w:sz w:val="28"/>
          <w:szCs w:val="28"/>
          <w:rtl/>
        </w:rPr>
        <w:t>קשה</w:t>
      </w:r>
      <w:r w:rsidRPr="009813BB">
        <w:rPr>
          <w:rFonts w:hint="cs"/>
          <w:rtl/>
        </w:rPr>
        <w:t>-</w:t>
      </w:r>
      <w:r w:rsidRPr="009813BB">
        <w:rPr>
          <w:rFonts w:hint="cs"/>
          <w:b/>
          <w:bCs/>
          <w:sz w:val="28"/>
          <w:szCs w:val="28"/>
          <w:rtl/>
        </w:rPr>
        <w:t>יפה</w:t>
      </w:r>
      <w:r w:rsidRPr="009813BB">
        <w:rPr>
          <w:rFonts w:hint="cs"/>
          <w:rtl/>
        </w:rPr>
        <w:t xml:space="preserve">, </w:t>
      </w:r>
      <w:r w:rsidRPr="009813BB">
        <w:rPr>
          <w:rFonts w:hint="cs"/>
          <w:b/>
          <w:bCs/>
          <w:sz w:val="28"/>
          <w:szCs w:val="28"/>
          <w:rtl/>
        </w:rPr>
        <w:t>יפה</w:t>
      </w:r>
      <w:r w:rsidRPr="009813BB">
        <w:rPr>
          <w:rFonts w:hint="cs"/>
          <w:rtl/>
        </w:rPr>
        <w:t>-</w:t>
      </w:r>
      <w:r w:rsidRPr="009813BB">
        <w:rPr>
          <w:rFonts w:hint="cs"/>
          <w:b/>
          <w:bCs/>
          <w:sz w:val="28"/>
          <w:szCs w:val="28"/>
          <w:rtl/>
        </w:rPr>
        <w:t>יפה</w:t>
      </w:r>
      <w:r w:rsidRPr="009813BB">
        <w:rPr>
          <w:rFonts w:hint="cs"/>
          <w:rtl/>
        </w:rPr>
        <w:t xml:space="preserve"> </w:t>
      </w:r>
      <w:r w:rsidRPr="009813BB">
        <w:rPr>
          <w:rtl/>
        </w:rPr>
        <w:t>–</w:t>
      </w:r>
      <w:r w:rsidRPr="009813BB">
        <w:rPr>
          <w:rFonts w:hint="cs"/>
          <w:rtl/>
        </w:rPr>
        <w:t xml:space="preserve"> עולות שם </w:t>
      </w:r>
      <w:r w:rsidRPr="009813BB">
        <w:rPr>
          <w:rFonts w:hint="cs"/>
          <w:b/>
          <w:bCs/>
          <w:sz w:val="28"/>
          <w:szCs w:val="28"/>
          <w:rtl/>
        </w:rPr>
        <w:t>הוי</w:t>
      </w:r>
      <w:r w:rsidRPr="009813BB">
        <w:rPr>
          <w:rFonts w:hint="cs"/>
          <w:rtl/>
        </w:rPr>
        <w:t xml:space="preserve">' בהכאת אותיות, </w:t>
      </w:r>
      <w:r w:rsidRPr="009813BB">
        <w:rPr>
          <w:rFonts w:hint="cs"/>
          <w:b/>
          <w:bCs/>
          <w:sz w:val="28"/>
          <w:szCs w:val="28"/>
          <w:rtl/>
        </w:rPr>
        <w:t>י</w:t>
      </w:r>
      <w:r w:rsidRPr="009813BB">
        <w:rPr>
          <w:rFonts w:hint="cs"/>
          <w:rtl/>
        </w:rPr>
        <w:t xml:space="preserve"> פעמים </w:t>
      </w:r>
      <w:r w:rsidRPr="009813BB">
        <w:rPr>
          <w:rFonts w:hint="cs"/>
          <w:b/>
          <w:bCs/>
          <w:sz w:val="28"/>
          <w:szCs w:val="28"/>
          <w:rtl/>
        </w:rPr>
        <w:t>ה</w:t>
      </w:r>
      <w:r w:rsidRPr="009813BB">
        <w:rPr>
          <w:rFonts w:hint="cs"/>
          <w:rtl/>
        </w:rPr>
        <w:t xml:space="preserve"> פעמים </w:t>
      </w:r>
      <w:r w:rsidRPr="009813BB">
        <w:rPr>
          <w:rFonts w:hint="cs"/>
          <w:b/>
          <w:bCs/>
          <w:sz w:val="28"/>
          <w:szCs w:val="28"/>
          <w:rtl/>
        </w:rPr>
        <w:t>ו</w:t>
      </w:r>
      <w:r w:rsidRPr="009813BB">
        <w:rPr>
          <w:rFonts w:hint="cs"/>
          <w:rtl/>
        </w:rPr>
        <w:t xml:space="preserve"> פעמים </w:t>
      </w:r>
      <w:r w:rsidRPr="009813BB">
        <w:rPr>
          <w:rFonts w:hint="cs"/>
          <w:b/>
          <w:bCs/>
          <w:sz w:val="28"/>
          <w:szCs w:val="28"/>
          <w:rtl/>
        </w:rPr>
        <w:t>ה</w:t>
      </w:r>
      <w:r w:rsidRPr="009813BB">
        <w:rPr>
          <w:rFonts w:hint="cs"/>
          <w:rtl/>
        </w:rPr>
        <w:t>].</w:t>
      </w:r>
    </w:p>
    <w:p w:rsidR="005F4A47" w:rsidRDefault="001E4BF7" w:rsidP="001E4BF7">
      <w:r>
        <w:rPr>
          <w:rFonts w:hint="cs"/>
          <w:rtl/>
        </w:rPr>
        <w:t xml:space="preserve">בפרטות כל תקופה בת שלשה חדשים מתחלקת בתוך עצמה לפי הסדר של הקב"ה-אבא-אמא </w:t>
      </w:r>
      <w:r>
        <w:rPr>
          <w:rtl/>
        </w:rPr>
        <w:t>–</w:t>
      </w:r>
      <w:r>
        <w:rPr>
          <w:rFonts w:hint="cs"/>
          <w:rtl/>
        </w:rPr>
        <w:t xml:space="preserve"> הכנעה-הבדלה-המתקה </w:t>
      </w:r>
      <w:r>
        <w:rPr>
          <w:rtl/>
        </w:rPr>
        <w:t>–</w:t>
      </w:r>
      <w:r>
        <w:rPr>
          <w:rFonts w:hint="cs"/>
          <w:rtl/>
        </w:rPr>
        <w:t xml:space="preserve"> ולפי זה ניתן לנתח נקודות זמן שונות במשך ההריון: במשך כל החדש הראשון, זמן ההכנעה-שבהכנעה השייך לקב"ה-שבקב"ה, העובר הוא "מיא בעלמא"</w:t>
      </w:r>
      <w:r w:rsidRPr="008636EE">
        <w:rPr>
          <w:rStyle w:val="a3"/>
          <w:rtl/>
        </w:rPr>
        <w:endnoteReference w:id="30"/>
      </w:r>
      <w:r>
        <w:rPr>
          <w:rFonts w:hint="cs"/>
          <w:rtl/>
        </w:rPr>
        <w:t>. יצירת הולד לארבעים יום</w:t>
      </w:r>
      <w:r w:rsidRPr="008636EE">
        <w:rPr>
          <w:rStyle w:val="a3"/>
          <w:rtl/>
        </w:rPr>
        <w:endnoteReference w:id="31"/>
      </w:r>
      <w:r>
        <w:rPr>
          <w:rFonts w:hint="cs"/>
          <w:rtl/>
        </w:rPr>
        <w:t>, בו נקבעת זהותו, היא בזמן ההבדלה-שבהכנעה, השייך לאבא-שבקב"ה (כאשר מתוך ההכנעה מתחיל להצטייר ציור מסוים). העובר ניכר במהלך החדש השלישי (בסיומו או אף באמצעו</w:t>
      </w:r>
      <w:r w:rsidRPr="008636EE">
        <w:rPr>
          <w:rStyle w:val="a3"/>
          <w:rtl/>
        </w:rPr>
        <w:endnoteReference w:id="32"/>
      </w:r>
      <w:r>
        <w:rPr>
          <w:rFonts w:hint="cs"/>
          <w:rtl/>
        </w:rPr>
        <w:t>), בתקופת ההמתקה-שבהכנעה, זמנה של האמא-שבקב"ה. המנהג</w:t>
      </w:r>
      <w:r w:rsidRPr="008636EE">
        <w:rPr>
          <w:rStyle w:val="a3"/>
          <w:rtl/>
        </w:rPr>
        <w:endnoteReference w:id="33"/>
      </w:r>
      <w:r>
        <w:rPr>
          <w:rFonts w:hint="cs"/>
          <w:rtl/>
        </w:rPr>
        <w:t xml:space="preserve"> הוא להמתין עם פרסום ההריון עד החודש החמישי, זמן ההבדלה שבהבדלה, זמנו של האבא-שבאבא. הלידה עצמה יכולה להתרחש בכי טוב בחדש השביעי או בחדש התשיעי</w:t>
      </w:r>
      <w:bookmarkStart w:id="2" w:name="_Ref301645717"/>
      <w:r w:rsidRPr="008636EE">
        <w:rPr>
          <w:rStyle w:val="a3"/>
          <w:rtl/>
        </w:rPr>
        <w:endnoteReference w:id="34"/>
      </w:r>
      <w:bookmarkEnd w:id="2"/>
      <w:r>
        <w:rPr>
          <w:rFonts w:hint="cs"/>
          <w:rtl/>
        </w:rPr>
        <w:t>, זמן הקב"ה-שבאמא או זמן האמא-שבאמא (אך בחדש השמיני הלידה אינה רצויה</w:t>
      </w:r>
      <w:r w:rsidRPr="00890F33">
        <w:rPr>
          <w:rStyle w:val="a9"/>
          <w:rtl/>
        </w:rPr>
        <w:fldChar w:fldCharType="begin"/>
      </w:r>
      <w:r w:rsidRPr="00890F33">
        <w:rPr>
          <w:rStyle w:val="a9"/>
          <w:rtl/>
        </w:rPr>
        <w:instrText xml:space="preserve"> </w:instrText>
      </w:r>
      <w:r w:rsidRPr="00890F33">
        <w:rPr>
          <w:rStyle w:val="a9"/>
          <w:rFonts w:hint="cs"/>
        </w:rPr>
        <w:instrText>NOTEREF</w:instrText>
      </w:r>
      <w:r w:rsidRPr="00890F33">
        <w:rPr>
          <w:rStyle w:val="a9"/>
          <w:rFonts w:hint="cs"/>
          <w:rtl/>
        </w:rPr>
        <w:instrText xml:space="preserve"> _</w:instrText>
      </w:r>
      <w:r w:rsidRPr="00890F33">
        <w:rPr>
          <w:rStyle w:val="a9"/>
          <w:rFonts w:hint="cs"/>
        </w:rPr>
        <w:instrText>Ref301645717 \h</w:instrText>
      </w:r>
      <w:r w:rsidRPr="00890F33">
        <w:rPr>
          <w:rStyle w:val="a9"/>
          <w:rtl/>
        </w:rPr>
        <w:instrText xml:space="preserve"> </w:instrText>
      </w:r>
      <w:r w:rsidRPr="00890F33">
        <w:rPr>
          <w:rStyle w:val="a9"/>
        </w:rPr>
      </w:r>
      <w:r>
        <w:rPr>
          <w:rStyle w:val="a9"/>
          <w:rtl/>
        </w:rPr>
        <w:instrText xml:space="preserve"> \* </w:instrText>
      </w:r>
      <w:r>
        <w:rPr>
          <w:rStyle w:val="a9"/>
        </w:rPr>
        <w:instrText>MERGEFORMAT</w:instrText>
      </w:r>
      <w:r>
        <w:rPr>
          <w:rStyle w:val="a9"/>
          <w:rtl/>
        </w:rPr>
        <w:instrText xml:space="preserve"> </w:instrText>
      </w:r>
      <w:r>
        <w:rPr>
          <w:rStyle w:val="a9"/>
          <w:rtl/>
        </w:rPr>
        <w:fldChar w:fldCharType="separate"/>
      </w:r>
      <w:r>
        <w:rPr>
          <w:rStyle w:val="a9"/>
          <w:rtl/>
        </w:rPr>
        <w:t>לד</w:t>
      </w:r>
      <w:r w:rsidRPr="00890F33">
        <w:rPr>
          <w:rStyle w:val="a9"/>
          <w:rtl/>
        </w:rPr>
        <w:fldChar w:fldCharType="end"/>
      </w:r>
      <w:r>
        <w:rPr>
          <w:rFonts w:hint="cs"/>
          <w:rtl/>
        </w:rPr>
        <w:t xml:space="preserve"> </w:t>
      </w:r>
      <w:r>
        <w:rPr>
          <w:rtl/>
        </w:rPr>
        <w:t>–</w:t>
      </w:r>
      <w:r>
        <w:rPr>
          <w:rFonts w:hint="cs"/>
          <w:rtl/>
        </w:rPr>
        <w:t xml:space="preserve"> רמז לכך שאל לו לאבא להיות מעורב בתהליך הלידה עצמו, כנהוג שהאב אינו נוכח בחדר הלידה</w:t>
      </w:r>
      <w:r w:rsidRPr="008636EE">
        <w:rPr>
          <w:rStyle w:val="a3"/>
          <w:rtl/>
        </w:rPr>
        <w:endnoteReference w:id="35"/>
      </w:r>
      <w:r>
        <w:rPr>
          <w:rFonts w:hint="cs"/>
          <w:rtl/>
        </w:rPr>
        <w:t xml:space="preserve">...). ובכל זה ועוד </w:t>
      </w:r>
      <w:r>
        <w:rPr>
          <w:rtl/>
        </w:rPr>
        <w:t>–</w:t>
      </w:r>
      <w:r>
        <w:rPr>
          <w:rFonts w:hint="cs"/>
          <w:rtl/>
        </w:rPr>
        <w:t xml:space="preserve"> תן לחכם ויחכם עוד.</w:t>
      </w:r>
      <w:bookmarkStart w:id="3" w:name="_GoBack"/>
      <w:bookmarkEnd w:id="3"/>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7B83" w:rsidRDefault="006E7B83" w:rsidP="001E4BF7">
      <w:pPr>
        <w:spacing w:after="0" w:line="240" w:lineRule="auto"/>
      </w:pPr>
      <w:r>
        <w:separator/>
      </w:r>
    </w:p>
  </w:endnote>
  <w:endnote w:type="continuationSeparator" w:id="0">
    <w:p w:rsidR="006E7B83" w:rsidRDefault="006E7B83" w:rsidP="001E4BF7">
      <w:pPr>
        <w:spacing w:after="0" w:line="240" w:lineRule="auto"/>
      </w:pPr>
      <w:r>
        <w:continuationSeparator/>
      </w:r>
    </w:p>
  </w:endnote>
  <w:endnote w:id="1">
    <w:p w:rsidR="001E4BF7" w:rsidRDefault="001E4BF7" w:rsidP="001E4BF7">
      <w:pPr>
        <w:pStyle w:val="a7"/>
        <w:rPr>
          <w:rFonts w:hint="cs"/>
          <w:rtl/>
        </w:rPr>
      </w:pPr>
      <w:r>
        <w:rPr>
          <w:rtl/>
        </w:rPr>
        <w:tab/>
      </w:r>
      <w:r w:rsidRPr="00944A81">
        <w:rPr>
          <w:rtl/>
        </w:rPr>
        <w:endnoteRef/>
      </w:r>
      <w:r>
        <w:rPr>
          <w:rtl/>
        </w:rPr>
        <w:t>.</w:t>
      </w:r>
      <w:r>
        <w:rPr>
          <w:rtl/>
        </w:rPr>
        <w:tab/>
      </w:r>
      <w:r>
        <w:rPr>
          <w:rFonts w:hint="cs"/>
          <w:rtl/>
        </w:rPr>
        <w:t>ראה כתר שם טוב (הוצאת קה"ת) אותיות כח, קס ו-שב.</w:t>
      </w:r>
    </w:p>
  </w:endnote>
  <w:endnote w:id="2">
    <w:p w:rsidR="001E4BF7" w:rsidRDefault="001E4BF7" w:rsidP="001E4BF7">
      <w:pPr>
        <w:pStyle w:val="a7"/>
        <w:rPr>
          <w:rFonts w:hint="cs"/>
        </w:rPr>
      </w:pPr>
      <w:r>
        <w:rPr>
          <w:rtl/>
        </w:rPr>
        <w:tab/>
      </w:r>
      <w:r w:rsidRPr="00944A81">
        <w:rPr>
          <w:rtl/>
        </w:rPr>
        <w:endnoteRef/>
      </w:r>
      <w:r>
        <w:rPr>
          <w:rtl/>
        </w:rPr>
        <w:t>.</w:t>
      </w:r>
      <w:r>
        <w:rPr>
          <w:rtl/>
        </w:rPr>
        <w:tab/>
      </w:r>
      <w:r>
        <w:rPr>
          <w:rFonts w:hint="cs"/>
          <w:rtl/>
        </w:rPr>
        <w:t xml:space="preserve">עשרה מאמרות מאמר העתים סימן ד </w:t>
      </w:r>
      <w:r>
        <w:rPr>
          <w:rtl/>
        </w:rPr>
        <w:t>–</w:t>
      </w:r>
      <w:r>
        <w:rPr>
          <w:rFonts w:hint="cs"/>
          <w:rtl/>
        </w:rPr>
        <w:t xml:space="preserve"> עיי"ש שדורש בפירוש על "עת לחשות [בזמן הטומאה] ועת לדבר [בליל הטבילה וזמן הטהרה]".</w:t>
      </w:r>
    </w:p>
  </w:endnote>
  <w:endnote w:id="3">
    <w:p w:rsidR="001E4BF7" w:rsidRDefault="001E4BF7" w:rsidP="001E4BF7">
      <w:pPr>
        <w:pStyle w:val="a7"/>
        <w:rPr>
          <w:rFonts w:hint="cs"/>
        </w:rPr>
      </w:pPr>
      <w:r>
        <w:rPr>
          <w:rtl/>
        </w:rPr>
        <w:tab/>
      </w:r>
      <w:r w:rsidRPr="00944A81">
        <w:rPr>
          <w:rtl/>
        </w:rPr>
        <w:endnoteRef/>
      </w:r>
      <w:r>
        <w:rPr>
          <w:rtl/>
        </w:rPr>
        <w:t>.</w:t>
      </w:r>
      <w:r>
        <w:rPr>
          <w:rtl/>
        </w:rPr>
        <w:tab/>
      </w:r>
      <w:r>
        <w:rPr>
          <w:rFonts w:hint="cs"/>
          <w:rtl/>
        </w:rPr>
        <w:t>תהלים לט, ג.</w:t>
      </w:r>
    </w:p>
  </w:endnote>
  <w:endnote w:id="4">
    <w:p w:rsidR="001E4BF7" w:rsidRDefault="001E4BF7" w:rsidP="001E4BF7">
      <w:pPr>
        <w:pStyle w:val="a7"/>
      </w:pPr>
      <w:r>
        <w:rPr>
          <w:rtl/>
        </w:rPr>
        <w:tab/>
      </w:r>
      <w:r w:rsidRPr="00944A81">
        <w:rPr>
          <w:rtl/>
        </w:rPr>
        <w:endnoteRef/>
      </w:r>
      <w:r>
        <w:rPr>
          <w:rtl/>
        </w:rPr>
        <w:t>.</w:t>
      </w:r>
      <w:r>
        <w:rPr>
          <w:rtl/>
        </w:rPr>
        <w:tab/>
      </w:r>
      <w:r>
        <w:rPr>
          <w:rFonts w:hint="cs"/>
          <w:rtl/>
        </w:rPr>
        <w:t>דברים יז, ח (ראה רש"י עה"פ).</w:t>
      </w:r>
    </w:p>
  </w:endnote>
  <w:endnote w:id="5">
    <w:p w:rsidR="001E4BF7" w:rsidRPr="009813BB" w:rsidRDefault="001E4BF7" w:rsidP="001E4BF7">
      <w:pPr>
        <w:pStyle w:val="a7"/>
        <w:rPr>
          <w:rFonts w:hint="cs"/>
        </w:rPr>
      </w:pPr>
      <w:r>
        <w:rPr>
          <w:rtl/>
        </w:rPr>
        <w:tab/>
      </w:r>
      <w:r w:rsidRPr="00944A81">
        <w:rPr>
          <w:rtl/>
        </w:rPr>
        <w:endnoteRef/>
      </w:r>
      <w:r>
        <w:rPr>
          <w:rtl/>
        </w:rPr>
        <w:t>.</w:t>
      </w:r>
      <w:r>
        <w:rPr>
          <w:rtl/>
        </w:rPr>
        <w:tab/>
      </w:r>
      <w:r w:rsidRPr="009813BB">
        <w:rPr>
          <w:rFonts w:hint="cs"/>
          <w:rtl/>
        </w:rPr>
        <w:t>וראה יבמות מו, א על ההשואה בין מילת אבותינו לטבילת אמותינו.</w:t>
      </w:r>
    </w:p>
  </w:endnote>
  <w:endnote w:id="6">
    <w:p w:rsidR="001E4BF7" w:rsidRDefault="001E4BF7" w:rsidP="001E4BF7">
      <w:pPr>
        <w:pStyle w:val="a7"/>
        <w:rPr>
          <w:rFonts w:hint="cs"/>
          <w:rtl/>
        </w:rPr>
      </w:pPr>
      <w:r>
        <w:rPr>
          <w:rtl/>
        </w:rPr>
        <w:tab/>
      </w:r>
      <w:r w:rsidRPr="00944A81">
        <w:rPr>
          <w:rtl/>
        </w:rPr>
        <w:endnoteRef/>
      </w:r>
      <w:r>
        <w:rPr>
          <w:rtl/>
        </w:rPr>
        <w:t>.</w:t>
      </w:r>
      <w:r>
        <w:rPr>
          <w:rtl/>
        </w:rPr>
        <w:tab/>
      </w:r>
      <w:r>
        <w:rPr>
          <w:rFonts w:hint="cs"/>
          <w:rtl/>
        </w:rPr>
        <w:t>ראה כתובות יג, א.</w:t>
      </w:r>
    </w:p>
  </w:endnote>
  <w:endnote w:id="7">
    <w:p w:rsidR="001E4BF7" w:rsidRDefault="001E4BF7" w:rsidP="001E4BF7">
      <w:pPr>
        <w:pStyle w:val="a7"/>
        <w:rPr>
          <w:rFonts w:hint="cs"/>
          <w:rtl/>
        </w:rPr>
      </w:pPr>
      <w:r>
        <w:rPr>
          <w:rtl/>
        </w:rPr>
        <w:tab/>
      </w:r>
      <w:r w:rsidRPr="00944A81">
        <w:rPr>
          <w:rtl/>
        </w:rPr>
        <w:endnoteRef/>
      </w:r>
      <w:r>
        <w:rPr>
          <w:rtl/>
        </w:rPr>
        <w:t>.</w:t>
      </w:r>
      <w:r>
        <w:rPr>
          <w:rtl/>
        </w:rPr>
        <w:tab/>
      </w:r>
      <w:r>
        <w:rPr>
          <w:rFonts w:hint="cs"/>
          <w:rtl/>
        </w:rPr>
        <w:t>כמבואר כל זה בארוכה במאמר "טהרת המשפחה" בספר ברית הנישואין.</w:t>
      </w:r>
    </w:p>
  </w:endnote>
  <w:endnote w:id="8">
    <w:p w:rsidR="001E4BF7" w:rsidRDefault="001E4BF7" w:rsidP="001E4BF7">
      <w:pPr>
        <w:pStyle w:val="a7"/>
        <w:rPr>
          <w:rFonts w:hint="cs"/>
          <w:rtl/>
        </w:rPr>
      </w:pPr>
      <w:r>
        <w:rPr>
          <w:rtl/>
        </w:rPr>
        <w:tab/>
      </w:r>
      <w:r w:rsidRPr="00944A81">
        <w:rPr>
          <w:rtl/>
        </w:rPr>
        <w:endnoteRef/>
      </w:r>
      <w:r>
        <w:rPr>
          <w:rtl/>
        </w:rPr>
        <w:t>.</w:t>
      </w:r>
      <w:r>
        <w:rPr>
          <w:rtl/>
        </w:rPr>
        <w:tab/>
      </w:r>
      <w:r>
        <w:rPr>
          <w:rFonts w:hint="cs"/>
          <w:rtl/>
        </w:rPr>
        <w:t>ראה ברית הנישואין שם עמ' פז-פח.</w:t>
      </w:r>
    </w:p>
  </w:endnote>
  <w:endnote w:id="9">
    <w:p w:rsidR="001E4BF7" w:rsidRDefault="001E4BF7" w:rsidP="001E4BF7">
      <w:pPr>
        <w:pStyle w:val="a7"/>
        <w:rPr>
          <w:rFonts w:hint="cs"/>
          <w:rtl/>
        </w:rPr>
      </w:pPr>
      <w:r>
        <w:rPr>
          <w:rtl/>
        </w:rPr>
        <w:tab/>
      </w:r>
      <w:r w:rsidRPr="00944A81">
        <w:rPr>
          <w:rtl/>
        </w:rPr>
        <w:endnoteRef/>
      </w:r>
      <w:r>
        <w:rPr>
          <w:rtl/>
        </w:rPr>
        <w:t>.</w:t>
      </w:r>
      <w:r>
        <w:rPr>
          <w:rtl/>
        </w:rPr>
        <w:tab/>
      </w:r>
      <w:r>
        <w:rPr>
          <w:rFonts w:hint="cs"/>
          <w:rtl/>
        </w:rPr>
        <w:t xml:space="preserve">נדה לא, א. ראה גם ברכות ס, א כי בכל שלשה חדשים יש להתפלל תפלה אחרת על העובר </w:t>
      </w:r>
      <w:r>
        <w:rPr>
          <w:rtl/>
        </w:rPr>
        <w:t>–</w:t>
      </w:r>
      <w:r>
        <w:rPr>
          <w:rFonts w:hint="cs"/>
          <w:rtl/>
        </w:rPr>
        <w:t xml:space="preserve"> בשלשה חדשים ראשונים לבל יהיה סנדל, בשלשה חדשים אמצעיים לבל יהיה נפל ובשלשה חדשים אחרונים שיצא בשלום.</w:t>
      </w:r>
    </w:p>
  </w:endnote>
  <w:endnote w:id="10">
    <w:p w:rsidR="001E4BF7" w:rsidRDefault="001E4BF7" w:rsidP="001E4BF7">
      <w:pPr>
        <w:pStyle w:val="a7"/>
        <w:rPr>
          <w:rFonts w:hint="cs"/>
          <w:rtl/>
        </w:rPr>
      </w:pPr>
      <w:r>
        <w:rPr>
          <w:rtl/>
        </w:rPr>
        <w:tab/>
      </w:r>
      <w:r w:rsidRPr="00944A81">
        <w:rPr>
          <w:rtl/>
        </w:rPr>
        <w:endnoteRef/>
      </w:r>
      <w:r>
        <w:rPr>
          <w:rtl/>
        </w:rPr>
        <w:t>.</w:t>
      </w:r>
      <w:r>
        <w:rPr>
          <w:rtl/>
        </w:rPr>
        <w:tab/>
      </w:r>
      <w:r>
        <w:rPr>
          <w:rFonts w:hint="cs"/>
          <w:rtl/>
        </w:rPr>
        <w:t>ראה רש"י ד"ה "קשה לאשה וקשה לולד" שקושר את המאמרים בנקודה אחת, ובאריכות ובעומק יותר בכללות המבנה ראה בביאור הגמרא על דרך הקבלה בע"ח ש"כ פ"ב (מ"ת), אוצרות חיים שער לידת המוחין, שער ההקדמות לד, א ועמק המלך שי"ד פל"ג.</w:t>
      </w:r>
    </w:p>
  </w:endnote>
  <w:endnote w:id="11">
    <w:p w:rsidR="001E4BF7" w:rsidRDefault="001E4BF7" w:rsidP="001E4BF7">
      <w:pPr>
        <w:pStyle w:val="a7"/>
        <w:rPr>
          <w:rFonts w:hint="cs"/>
          <w:rtl/>
        </w:rPr>
      </w:pPr>
      <w:r>
        <w:rPr>
          <w:rtl/>
        </w:rPr>
        <w:tab/>
      </w:r>
      <w:r w:rsidRPr="00944A81">
        <w:rPr>
          <w:rtl/>
        </w:rPr>
        <w:endnoteRef/>
      </w:r>
      <w:r>
        <w:rPr>
          <w:rtl/>
        </w:rPr>
        <w:t>.</w:t>
      </w:r>
      <w:r>
        <w:rPr>
          <w:rtl/>
        </w:rPr>
        <w:tab/>
      </w:r>
      <w:r>
        <w:rPr>
          <w:rFonts w:hint="cs"/>
          <w:rtl/>
        </w:rPr>
        <w:t>כתר שם טוב (הוצאת קה"ת) א.</w:t>
      </w:r>
    </w:p>
  </w:endnote>
  <w:endnote w:id="12">
    <w:p w:rsidR="001E4BF7" w:rsidRPr="00E21367" w:rsidRDefault="001E4BF7" w:rsidP="001E4BF7">
      <w:pPr>
        <w:pStyle w:val="a7"/>
        <w:rPr>
          <w:rFonts w:hint="cs"/>
        </w:rPr>
      </w:pPr>
      <w:r>
        <w:rPr>
          <w:rtl/>
        </w:rPr>
        <w:tab/>
      </w:r>
      <w:r w:rsidRPr="00944A81">
        <w:rPr>
          <w:rtl/>
        </w:rPr>
        <w:endnoteRef/>
      </w:r>
      <w:r>
        <w:rPr>
          <w:rtl/>
        </w:rPr>
        <w:t>.</w:t>
      </w:r>
      <w:r>
        <w:rPr>
          <w:rtl/>
        </w:rPr>
        <w:tab/>
      </w:r>
      <w:r>
        <w:rPr>
          <w:rFonts w:hint="cs"/>
          <w:rtl/>
        </w:rPr>
        <w:t>ראה בעש"ט עה"ת לענין מדורי תיבת נח.</w:t>
      </w:r>
    </w:p>
  </w:endnote>
  <w:endnote w:id="13">
    <w:p w:rsidR="001E4BF7" w:rsidRDefault="001E4BF7" w:rsidP="001E4BF7">
      <w:pPr>
        <w:pStyle w:val="a7"/>
        <w:rPr>
          <w:rFonts w:hint="cs"/>
          <w:rtl/>
        </w:rPr>
      </w:pPr>
      <w:r>
        <w:rPr>
          <w:rtl/>
        </w:rPr>
        <w:tab/>
      </w:r>
      <w:r w:rsidRPr="00944A81">
        <w:rPr>
          <w:rtl/>
        </w:rPr>
        <w:endnoteRef/>
      </w:r>
      <w:r>
        <w:rPr>
          <w:rtl/>
        </w:rPr>
        <w:t>.</w:t>
      </w:r>
      <w:r>
        <w:rPr>
          <w:rtl/>
        </w:rPr>
        <w:tab/>
      </w:r>
      <w:r>
        <w:rPr>
          <w:rFonts w:hint="cs"/>
          <w:rtl/>
        </w:rPr>
        <w:t xml:space="preserve">ראה בהקבלת המושגים חנה אריאל פרשת ואתחנן ד"ה "ואתחנן" (יא, ב) ובכ"ד בספרי קאמארנא, וראה בפירוש כי שלשת המדורים הם כנגד אנ"ך באוצרות חיים ובשער ההקדמות הנ"ל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Ref300759854 \h</w:instrText>
      </w:r>
      <w:r>
        <w:rPr>
          <w:rtl/>
        </w:rPr>
        <w:instrText xml:space="preserve"> </w:instrText>
      </w:r>
      <w:r>
        <w:rPr>
          <w:rtl/>
        </w:rPr>
        <w:fldChar w:fldCharType="separate"/>
      </w:r>
      <w:r>
        <w:rPr>
          <w:rtl/>
        </w:rPr>
        <w:t>י</w:t>
      </w:r>
      <w:r>
        <w:rPr>
          <w:rtl/>
        </w:rPr>
        <w:fldChar w:fldCharType="end"/>
      </w:r>
      <w:r>
        <w:rPr>
          <w:rFonts w:hint="cs"/>
          <w:rtl/>
        </w:rPr>
        <w:t>.</w:t>
      </w:r>
    </w:p>
  </w:endnote>
  <w:endnote w:id="14">
    <w:p w:rsidR="001E4BF7" w:rsidRDefault="001E4BF7" w:rsidP="001E4BF7">
      <w:pPr>
        <w:pStyle w:val="a7"/>
        <w:rPr>
          <w:rFonts w:hint="cs"/>
          <w:rtl/>
        </w:rPr>
      </w:pPr>
      <w:r>
        <w:rPr>
          <w:rtl/>
        </w:rPr>
        <w:tab/>
      </w:r>
      <w:r w:rsidRPr="00944A81">
        <w:rPr>
          <w:rtl/>
        </w:rPr>
        <w:endnoteRef/>
      </w:r>
      <w:r>
        <w:rPr>
          <w:rtl/>
        </w:rPr>
        <w:t>.</w:t>
      </w:r>
      <w:r>
        <w:rPr>
          <w:rtl/>
        </w:rPr>
        <w:tab/>
      </w:r>
      <w:r>
        <w:rPr>
          <w:rFonts w:hint="cs"/>
          <w:rtl/>
        </w:rPr>
        <w:t>ראה סוד הוי' ליראיו שער ד.</w:t>
      </w:r>
    </w:p>
  </w:endnote>
  <w:endnote w:id="15">
    <w:p w:rsidR="001E4BF7" w:rsidRDefault="001E4BF7" w:rsidP="001E4BF7">
      <w:pPr>
        <w:pStyle w:val="a7"/>
        <w:rPr>
          <w:rFonts w:hint="cs"/>
          <w:rtl/>
        </w:rPr>
      </w:pPr>
      <w:r>
        <w:rPr>
          <w:rtl/>
        </w:rPr>
        <w:tab/>
      </w:r>
      <w:r w:rsidRPr="00944A81">
        <w:rPr>
          <w:rtl/>
        </w:rPr>
        <w:endnoteRef/>
      </w:r>
      <w:r>
        <w:rPr>
          <w:rtl/>
        </w:rPr>
        <w:t>.</w:t>
      </w:r>
      <w:r>
        <w:rPr>
          <w:rtl/>
        </w:rPr>
        <w:tab/>
      </w:r>
      <w:r>
        <w:rPr>
          <w:rFonts w:hint="cs"/>
          <w:rtl/>
        </w:rPr>
        <w:t>תהלים כז, י. ראה רש"י עה"פ ע"פ ויקרא רבה יד, ה.</w:t>
      </w:r>
    </w:p>
  </w:endnote>
  <w:endnote w:id="16">
    <w:p w:rsidR="001E4BF7" w:rsidRDefault="001E4BF7" w:rsidP="001E4BF7">
      <w:pPr>
        <w:pStyle w:val="a7"/>
        <w:rPr>
          <w:rFonts w:hint="cs"/>
        </w:rPr>
      </w:pPr>
      <w:r>
        <w:rPr>
          <w:rtl/>
        </w:rPr>
        <w:tab/>
      </w:r>
      <w:r w:rsidRPr="00944A81">
        <w:rPr>
          <w:rtl/>
        </w:rPr>
        <w:endnoteRef/>
      </w:r>
      <w:r>
        <w:rPr>
          <w:rtl/>
        </w:rPr>
        <w:t>.</w:t>
      </w:r>
      <w:r>
        <w:rPr>
          <w:rtl/>
        </w:rPr>
        <w:tab/>
      </w:r>
      <w:r>
        <w:rPr>
          <w:rFonts w:hint="cs"/>
          <w:rtl/>
        </w:rPr>
        <w:t xml:space="preserve">זהר ח"א טו, א (וראה בפירוש דרך אמת שם). </w:t>
      </w:r>
    </w:p>
  </w:endnote>
  <w:endnote w:id="17">
    <w:p w:rsidR="001E4BF7" w:rsidRDefault="001E4BF7" w:rsidP="001E4BF7">
      <w:pPr>
        <w:pStyle w:val="a7"/>
        <w:rPr>
          <w:rFonts w:hint="cs"/>
          <w:rtl/>
        </w:rPr>
      </w:pPr>
      <w:r>
        <w:rPr>
          <w:rtl/>
        </w:rPr>
        <w:tab/>
      </w:r>
      <w:r w:rsidRPr="00944A81">
        <w:rPr>
          <w:rtl/>
        </w:rPr>
        <w:endnoteRef/>
      </w:r>
      <w:r>
        <w:rPr>
          <w:rtl/>
        </w:rPr>
        <w:t>.</w:t>
      </w:r>
      <w:r>
        <w:rPr>
          <w:rtl/>
        </w:rPr>
        <w:tab/>
      </w:r>
      <w:r>
        <w:rPr>
          <w:rFonts w:hint="cs"/>
          <w:rtl/>
        </w:rPr>
        <w:t>ראה תורה אור לט, א ובכ"מ.</w:t>
      </w:r>
    </w:p>
  </w:endnote>
  <w:endnote w:id="18">
    <w:p w:rsidR="001E4BF7" w:rsidRDefault="001E4BF7" w:rsidP="001E4BF7">
      <w:pPr>
        <w:pStyle w:val="a7"/>
        <w:rPr>
          <w:rFonts w:hint="cs"/>
          <w:rtl/>
        </w:rPr>
      </w:pPr>
      <w:r>
        <w:rPr>
          <w:rtl/>
        </w:rPr>
        <w:tab/>
      </w:r>
      <w:r w:rsidRPr="00944A81">
        <w:rPr>
          <w:rtl/>
        </w:rPr>
        <w:endnoteRef/>
      </w:r>
      <w:r>
        <w:rPr>
          <w:rtl/>
        </w:rPr>
        <w:t>.</w:t>
      </w:r>
      <w:r>
        <w:rPr>
          <w:rtl/>
        </w:rPr>
        <w:tab/>
      </w:r>
      <w:r>
        <w:rPr>
          <w:rFonts w:hint="cs"/>
          <w:rtl/>
        </w:rPr>
        <w:t xml:space="preserve">ראה עמק המלך הנ"ל 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Ref300759854 \h</w:instrText>
      </w:r>
      <w:r>
        <w:rPr>
          <w:rtl/>
        </w:rPr>
        <w:instrText xml:space="preserve"> </w:instrText>
      </w:r>
      <w:r>
        <w:rPr>
          <w:rtl/>
        </w:rPr>
        <w:fldChar w:fldCharType="separate"/>
      </w:r>
      <w:r>
        <w:rPr>
          <w:rtl/>
        </w:rPr>
        <w:t>י</w:t>
      </w:r>
      <w:r>
        <w:rPr>
          <w:rtl/>
        </w:rPr>
        <w:fldChar w:fldCharType="end"/>
      </w:r>
      <w:r>
        <w:rPr>
          <w:rFonts w:hint="cs"/>
          <w:rtl/>
        </w:rPr>
        <w:t xml:space="preserve"> ש"עונת תלמידי חכמים" מותרת בתקופה זו, משום שבלילי שבתות מורגשת יותר שמירת ה' ונוכחותו, "והאחרים ועמי הארץ ופתאים ניצולים בזכות תלמידי חכמים" (ומכאן עצה טובה להוסיף שיעור תורה בזמן ההריון, כדי להכנס לגדר "תלמידי חכמים").</w:t>
      </w:r>
    </w:p>
  </w:endnote>
  <w:endnote w:id="19">
    <w:p w:rsidR="001E4BF7" w:rsidRDefault="001E4BF7" w:rsidP="001E4BF7">
      <w:pPr>
        <w:pStyle w:val="a7"/>
        <w:rPr>
          <w:rFonts w:hint="cs"/>
        </w:rPr>
      </w:pPr>
      <w:r>
        <w:rPr>
          <w:rtl/>
        </w:rPr>
        <w:tab/>
      </w:r>
      <w:r w:rsidRPr="00944A81">
        <w:rPr>
          <w:rtl/>
        </w:rPr>
        <w:endnoteRef/>
      </w:r>
      <w:r>
        <w:rPr>
          <w:rtl/>
        </w:rPr>
        <w:t>.</w:t>
      </w:r>
      <w:r>
        <w:rPr>
          <w:rtl/>
        </w:rPr>
        <w:tab/>
      </w:r>
      <w:r>
        <w:rPr>
          <w:rFonts w:hint="cs"/>
          <w:rtl/>
        </w:rPr>
        <w:t>ואף שהאריז"ל (פע"ח שער קריאת שמע שעל המטה פי"א) מפרש את דברי הזהר (ח"ב ג, א) כי המשמש מטתו ביום תשעים הוא שופך דמים ממש (ולא רק כשופך דמים, כדיוק הערוך לנר בגמרא על אתר) ויש להזהר מכך (וכן הביא במגן אברהם או"ח רמ, ה אך הסיק כפסק הגמרא), על כל פנים יתפרש פסק הגמרא "משמש והולך כדרכו וכו'" על כל שלשת החדשים (וכדברי עמק המלך שהובאו בהערה הקודמת).</w:t>
      </w:r>
    </w:p>
  </w:endnote>
  <w:endnote w:id="20">
    <w:p w:rsidR="001E4BF7" w:rsidRDefault="001E4BF7" w:rsidP="001E4BF7">
      <w:pPr>
        <w:pStyle w:val="a7"/>
        <w:rPr>
          <w:rFonts w:hint="cs"/>
          <w:rtl/>
        </w:rPr>
      </w:pPr>
      <w:r>
        <w:rPr>
          <w:rtl/>
        </w:rPr>
        <w:tab/>
      </w:r>
      <w:r w:rsidRPr="00944A81">
        <w:rPr>
          <w:rtl/>
        </w:rPr>
        <w:endnoteRef/>
      </w:r>
      <w:r>
        <w:rPr>
          <w:rtl/>
        </w:rPr>
        <w:t>.</w:t>
      </w:r>
      <w:r>
        <w:rPr>
          <w:rtl/>
        </w:rPr>
        <w:tab/>
      </w:r>
      <w:r>
        <w:rPr>
          <w:rFonts w:hint="cs"/>
          <w:rtl/>
        </w:rPr>
        <w:t>תהלים קטז, ו.</w:t>
      </w:r>
    </w:p>
  </w:endnote>
  <w:endnote w:id="21">
    <w:p w:rsidR="001E4BF7" w:rsidRDefault="001E4BF7" w:rsidP="001E4BF7">
      <w:pPr>
        <w:pStyle w:val="a7"/>
        <w:rPr>
          <w:rFonts w:hint="cs"/>
          <w:rtl/>
        </w:rPr>
      </w:pPr>
      <w:r>
        <w:rPr>
          <w:rtl/>
        </w:rPr>
        <w:tab/>
      </w:r>
      <w:r w:rsidRPr="00944A81">
        <w:rPr>
          <w:rtl/>
        </w:rPr>
        <w:endnoteRef/>
      </w:r>
      <w:r>
        <w:rPr>
          <w:rtl/>
        </w:rPr>
        <w:t>.</w:t>
      </w:r>
      <w:r>
        <w:rPr>
          <w:rtl/>
        </w:rPr>
        <w:tab/>
      </w:r>
      <w:r>
        <w:rPr>
          <w:rFonts w:hint="cs"/>
          <w:rtl/>
        </w:rPr>
        <w:t xml:space="preserve">אליה רגישה במיוחד פנימיות התורה, הזהר והאר"י, כנ"ל בהערה </w:t>
      </w:r>
      <w:r>
        <w:rPr>
          <w:rtl/>
        </w:rPr>
        <w:fldChar w:fldCharType="begin"/>
      </w:r>
      <w:r>
        <w:rPr>
          <w:rtl/>
        </w:rPr>
        <w:instrText xml:space="preserve"> </w:instrText>
      </w:r>
      <w:r>
        <w:rPr>
          <w:rFonts w:hint="cs"/>
        </w:rPr>
        <w:instrText>NOTEREF</w:instrText>
      </w:r>
      <w:r>
        <w:rPr>
          <w:rFonts w:hint="cs"/>
          <w:rtl/>
        </w:rPr>
        <w:instrText xml:space="preserve"> _</w:instrText>
      </w:r>
      <w:r>
        <w:rPr>
          <w:rFonts w:hint="cs"/>
        </w:rPr>
        <w:instrText>Ref300771373 \h</w:instrText>
      </w:r>
      <w:r>
        <w:rPr>
          <w:rtl/>
        </w:rPr>
        <w:instrText xml:space="preserve"> </w:instrText>
      </w:r>
      <w:r>
        <w:rPr>
          <w:rtl/>
        </w:rPr>
        <w:fldChar w:fldCharType="separate"/>
      </w:r>
      <w:r>
        <w:rPr>
          <w:rtl/>
        </w:rPr>
        <w:t>יט</w:t>
      </w:r>
      <w:r>
        <w:rPr>
          <w:rtl/>
        </w:rPr>
        <w:fldChar w:fldCharType="end"/>
      </w:r>
      <w:r>
        <w:rPr>
          <w:rFonts w:hint="cs"/>
          <w:rtl/>
        </w:rPr>
        <w:t>.</w:t>
      </w:r>
    </w:p>
  </w:endnote>
  <w:endnote w:id="22">
    <w:p w:rsidR="001E4BF7" w:rsidRDefault="001E4BF7" w:rsidP="001E4BF7">
      <w:pPr>
        <w:pStyle w:val="a7"/>
        <w:rPr>
          <w:rFonts w:hint="cs"/>
          <w:rtl/>
        </w:rPr>
      </w:pPr>
      <w:r>
        <w:rPr>
          <w:rtl/>
        </w:rPr>
        <w:tab/>
      </w:r>
      <w:r w:rsidRPr="00944A81">
        <w:rPr>
          <w:rtl/>
        </w:rPr>
        <w:endnoteRef/>
      </w:r>
      <w:r>
        <w:rPr>
          <w:rtl/>
        </w:rPr>
        <w:t>.</w:t>
      </w:r>
      <w:r>
        <w:rPr>
          <w:rtl/>
        </w:rPr>
        <w:tab/>
      </w:r>
      <w:r>
        <w:rPr>
          <w:rFonts w:hint="cs"/>
          <w:rtl/>
        </w:rPr>
        <w:t>שבת קנו, א.</w:t>
      </w:r>
    </w:p>
  </w:endnote>
  <w:endnote w:id="23">
    <w:p w:rsidR="001E4BF7" w:rsidRDefault="001E4BF7" w:rsidP="001E4BF7">
      <w:pPr>
        <w:pStyle w:val="a7"/>
        <w:rPr>
          <w:rFonts w:hint="cs"/>
        </w:rPr>
      </w:pPr>
      <w:r>
        <w:rPr>
          <w:rtl/>
        </w:rPr>
        <w:tab/>
      </w:r>
      <w:r w:rsidRPr="00944A81">
        <w:rPr>
          <w:rtl/>
        </w:rPr>
        <w:endnoteRef/>
      </w:r>
      <w:r>
        <w:rPr>
          <w:rtl/>
        </w:rPr>
        <w:t>.</w:t>
      </w:r>
      <w:r>
        <w:rPr>
          <w:rtl/>
        </w:rPr>
        <w:tab/>
      </w:r>
      <w:r>
        <w:rPr>
          <w:rFonts w:hint="cs"/>
          <w:rtl/>
        </w:rPr>
        <w:t>בעל שם טוב עה"ת לך כו.</w:t>
      </w:r>
    </w:p>
  </w:endnote>
  <w:endnote w:id="24">
    <w:p w:rsidR="001E4BF7" w:rsidRDefault="001E4BF7" w:rsidP="001E4BF7">
      <w:pPr>
        <w:pStyle w:val="a7"/>
        <w:rPr>
          <w:rFonts w:hint="cs"/>
          <w:rtl/>
        </w:rPr>
      </w:pPr>
      <w:r>
        <w:rPr>
          <w:rtl/>
        </w:rPr>
        <w:tab/>
      </w:r>
      <w:r w:rsidRPr="00944A81">
        <w:rPr>
          <w:rtl/>
        </w:rPr>
        <w:endnoteRef/>
      </w:r>
      <w:r>
        <w:rPr>
          <w:rtl/>
        </w:rPr>
        <w:t>.</w:t>
      </w:r>
      <w:r>
        <w:rPr>
          <w:rtl/>
        </w:rPr>
        <w:tab/>
      </w:r>
      <w:r>
        <w:rPr>
          <w:rFonts w:hint="cs"/>
          <w:rtl/>
        </w:rPr>
        <w:t>לקוטי תורה לאריז"ל וישלח ד"ה "ויקרא את שמו ישראל" וספר הליקוטים עה"פ.</w:t>
      </w:r>
    </w:p>
  </w:endnote>
  <w:endnote w:id="25">
    <w:p w:rsidR="001E4BF7" w:rsidRPr="009813BB" w:rsidRDefault="001E4BF7" w:rsidP="001E4BF7">
      <w:pPr>
        <w:pStyle w:val="a7"/>
        <w:rPr>
          <w:rFonts w:hint="cs"/>
        </w:rPr>
      </w:pPr>
      <w:r>
        <w:rPr>
          <w:rtl/>
        </w:rPr>
        <w:tab/>
      </w:r>
      <w:r w:rsidRPr="00944A81">
        <w:rPr>
          <w:rtl/>
        </w:rPr>
        <w:endnoteRef/>
      </w:r>
      <w:r>
        <w:rPr>
          <w:rtl/>
        </w:rPr>
        <w:t>.</w:t>
      </w:r>
      <w:r>
        <w:rPr>
          <w:rtl/>
        </w:rPr>
        <w:tab/>
      </w:r>
      <w:r w:rsidRPr="009813BB">
        <w:rPr>
          <w:rFonts w:hint="cs"/>
          <w:rtl/>
        </w:rPr>
        <w:t>וראה סנהדרין סט, א כי דין בן סורר ומורה הוא רק שלשה חדשים משיגדיל, "'בן' ולא הראוי לקרותו אב" (וברש"י שם "הראוי להיות אב"). אם כן, רק לאחר שליש ההריון (וראה שם רש"י ד"ה "זיל בתר רובא"), כאשר ניכר העובר, נקרא אביו אב. על פי זה יש לדרוש עוד בסכנת היום התשעים (כנ"ל בפנים), בו יוצא האב מכלל דין בן סורר ומורה, ולומר כי באותו רגע גם הבן עומד בדין למעלה לצאת מדין בן סורר ומורה לעתיד (וממילא מתברר כי כל העובר רגע קריטי זה בעיבור כבר יצא מכלל בן סורר ומורה, ומכיון שכל מי שנולד עבר רגע זה הרי "בן סורר ומורה לא היה ולא עתיד להיות"...).</w:t>
      </w:r>
    </w:p>
  </w:endnote>
  <w:endnote w:id="26">
    <w:p w:rsidR="001E4BF7" w:rsidRDefault="001E4BF7" w:rsidP="001E4BF7">
      <w:pPr>
        <w:pStyle w:val="a7"/>
        <w:rPr>
          <w:rFonts w:hint="cs"/>
        </w:rPr>
      </w:pPr>
      <w:r>
        <w:rPr>
          <w:rtl/>
        </w:rPr>
        <w:tab/>
      </w:r>
      <w:r w:rsidRPr="00944A81">
        <w:rPr>
          <w:rtl/>
        </w:rPr>
        <w:endnoteRef/>
      </w:r>
      <w:r>
        <w:rPr>
          <w:rtl/>
        </w:rPr>
        <w:t>.</w:t>
      </w:r>
      <w:r>
        <w:rPr>
          <w:rtl/>
        </w:rPr>
        <w:tab/>
      </w:r>
      <w:r>
        <w:rPr>
          <w:rFonts w:hint="cs"/>
          <w:rtl/>
        </w:rPr>
        <w:t xml:space="preserve">כמפורש בבעלי הנפש להראב"ד, שער הקדושה (עוד על </w:t>
      </w:r>
      <w:r w:rsidRPr="009813BB">
        <w:rPr>
          <w:rFonts w:hint="cs"/>
          <w:rtl/>
        </w:rPr>
        <w:t xml:space="preserve">ארבע כוונות הזיווג ראה </w:t>
      </w:r>
      <w:r>
        <w:rPr>
          <w:rFonts w:hint="cs"/>
          <w:rtl/>
        </w:rPr>
        <w:t>יין משמח ח"א שער ז בתורה "ארבע כוונות הזיווג" והנסמן שם).</w:t>
      </w:r>
    </w:p>
  </w:endnote>
  <w:endnote w:id="27">
    <w:p w:rsidR="001E4BF7" w:rsidRPr="009813BB" w:rsidRDefault="001E4BF7" w:rsidP="001E4BF7">
      <w:pPr>
        <w:pStyle w:val="a7"/>
        <w:rPr>
          <w:rFonts w:hint="cs"/>
        </w:rPr>
      </w:pPr>
      <w:r>
        <w:rPr>
          <w:rtl/>
        </w:rPr>
        <w:tab/>
      </w:r>
      <w:r w:rsidRPr="00944A81">
        <w:rPr>
          <w:rtl/>
        </w:rPr>
        <w:endnoteRef/>
      </w:r>
      <w:r>
        <w:rPr>
          <w:rtl/>
        </w:rPr>
        <w:t>.</w:t>
      </w:r>
      <w:r>
        <w:rPr>
          <w:rtl/>
        </w:rPr>
        <w:tab/>
      </w:r>
      <w:r>
        <w:rPr>
          <w:rFonts w:hint="cs"/>
          <w:rtl/>
        </w:rPr>
        <w:t>בראשית ט, ז.</w:t>
      </w:r>
      <w:r w:rsidRPr="009813BB">
        <w:rPr>
          <w:rFonts w:hint="cs"/>
          <w:rtl/>
        </w:rPr>
        <w:t xml:space="preserve"> </w:t>
      </w:r>
    </w:p>
  </w:endnote>
  <w:endnote w:id="28">
    <w:p w:rsidR="001E4BF7" w:rsidRDefault="001E4BF7" w:rsidP="001E4BF7">
      <w:pPr>
        <w:pStyle w:val="a7"/>
        <w:rPr>
          <w:rFonts w:hint="cs"/>
          <w:rtl/>
        </w:rPr>
      </w:pPr>
      <w:r>
        <w:rPr>
          <w:rtl/>
        </w:rPr>
        <w:tab/>
      </w:r>
      <w:r w:rsidRPr="00944A81">
        <w:rPr>
          <w:rtl/>
        </w:rPr>
        <w:endnoteRef/>
      </w:r>
      <w:r>
        <w:rPr>
          <w:rtl/>
        </w:rPr>
        <w:t>.</w:t>
      </w:r>
      <w:r>
        <w:rPr>
          <w:rtl/>
        </w:rPr>
        <w:tab/>
      </w:r>
      <w:r>
        <w:rPr>
          <w:rFonts w:hint="cs"/>
          <w:rtl/>
        </w:rPr>
        <w:t>תהלים קיג, ט.</w:t>
      </w:r>
    </w:p>
  </w:endnote>
  <w:endnote w:id="29">
    <w:p w:rsidR="001E4BF7" w:rsidRDefault="001E4BF7" w:rsidP="001E4BF7">
      <w:pPr>
        <w:pStyle w:val="a7"/>
        <w:rPr>
          <w:rFonts w:hint="cs"/>
          <w:rtl/>
        </w:rPr>
      </w:pPr>
      <w:r>
        <w:rPr>
          <w:rtl/>
        </w:rPr>
        <w:tab/>
      </w:r>
      <w:r w:rsidRPr="00944A81">
        <w:rPr>
          <w:rtl/>
        </w:rPr>
        <w:endnoteRef/>
      </w:r>
      <w:r>
        <w:rPr>
          <w:rtl/>
        </w:rPr>
        <w:t>.</w:t>
      </w:r>
      <w:r>
        <w:rPr>
          <w:rtl/>
        </w:rPr>
        <w:tab/>
      </w:r>
      <w:r>
        <w:rPr>
          <w:rFonts w:hint="cs"/>
          <w:rtl/>
        </w:rPr>
        <w:t>וראה יין משמח ח"ג שער ג בתורה "והאדם ידע את חוה אשתו" שבעת ההריון היחוד הוא בבחינת "חידוש הישנות".</w:t>
      </w:r>
    </w:p>
  </w:endnote>
  <w:endnote w:id="30">
    <w:p w:rsidR="001E4BF7" w:rsidRDefault="001E4BF7" w:rsidP="001E4BF7">
      <w:pPr>
        <w:pStyle w:val="a7"/>
        <w:rPr>
          <w:rFonts w:hint="cs"/>
          <w:rtl/>
        </w:rPr>
      </w:pPr>
      <w:r>
        <w:rPr>
          <w:rtl/>
        </w:rPr>
        <w:tab/>
      </w:r>
      <w:r w:rsidRPr="00944A81">
        <w:rPr>
          <w:rtl/>
        </w:rPr>
        <w:endnoteRef/>
      </w:r>
      <w:r>
        <w:rPr>
          <w:rtl/>
        </w:rPr>
        <w:t>.</w:t>
      </w:r>
      <w:r>
        <w:rPr>
          <w:rtl/>
        </w:rPr>
        <w:tab/>
      </w:r>
      <w:r>
        <w:rPr>
          <w:rFonts w:hint="cs"/>
          <w:rtl/>
        </w:rPr>
        <w:t>יבמות סט, ב.</w:t>
      </w:r>
    </w:p>
  </w:endnote>
  <w:endnote w:id="31">
    <w:p w:rsidR="001E4BF7" w:rsidRDefault="001E4BF7" w:rsidP="001E4BF7">
      <w:pPr>
        <w:pStyle w:val="a7"/>
        <w:rPr>
          <w:rFonts w:hint="cs"/>
        </w:rPr>
      </w:pPr>
      <w:r>
        <w:rPr>
          <w:rtl/>
        </w:rPr>
        <w:tab/>
      </w:r>
      <w:r w:rsidRPr="00944A81">
        <w:rPr>
          <w:rtl/>
        </w:rPr>
        <w:endnoteRef/>
      </w:r>
      <w:r>
        <w:rPr>
          <w:rtl/>
        </w:rPr>
        <w:t>.</w:t>
      </w:r>
      <w:r>
        <w:rPr>
          <w:rtl/>
        </w:rPr>
        <w:tab/>
      </w:r>
      <w:r>
        <w:rPr>
          <w:rFonts w:hint="cs"/>
          <w:rtl/>
        </w:rPr>
        <w:t xml:space="preserve">נדה ל, ב (וראה שם כי לדעת רבי ישמעאל </w:t>
      </w:r>
      <w:r>
        <w:rPr>
          <w:rtl/>
        </w:rPr>
        <w:t>–</w:t>
      </w:r>
      <w:r>
        <w:rPr>
          <w:rFonts w:hint="cs"/>
          <w:rtl/>
        </w:rPr>
        <w:t xml:space="preserve"> הדחויה מהלכה </w:t>
      </w:r>
      <w:r>
        <w:rPr>
          <w:rtl/>
        </w:rPr>
        <w:t>–</w:t>
      </w:r>
      <w:r>
        <w:rPr>
          <w:rFonts w:hint="cs"/>
          <w:rtl/>
        </w:rPr>
        <w:t xml:space="preserve"> הזכר נוצר ביום הארבעים, בזמן האבא-שבקב"ה, והנקבה ביום השמונים, בזמן האמא-שבקב"ה, ודוק).</w:t>
      </w:r>
    </w:p>
  </w:endnote>
  <w:endnote w:id="32">
    <w:p w:rsidR="001E4BF7" w:rsidRDefault="001E4BF7" w:rsidP="001E4BF7">
      <w:pPr>
        <w:pStyle w:val="a7"/>
        <w:rPr>
          <w:rFonts w:hint="cs"/>
          <w:rtl/>
        </w:rPr>
      </w:pPr>
      <w:r>
        <w:rPr>
          <w:rtl/>
        </w:rPr>
        <w:tab/>
      </w:r>
      <w:r w:rsidRPr="00944A81">
        <w:rPr>
          <w:rtl/>
        </w:rPr>
        <w:endnoteRef/>
      </w:r>
      <w:r>
        <w:rPr>
          <w:rtl/>
        </w:rPr>
        <w:t>.</w:t>
      </w:r>
      <w:r>
        <w:rPr>
          <w:rtl/>
        </w:rPr>
        <w:tab/>
      </w:r>
      <w:r>
        <w:rPr>
          <w:rFonts w:hint="cs"/>
          <w:rtl/>
        </w:rPr>
        <w:t>ראה ירושלמי יבמות פ"ד הי"א.</w:t>
      </w:r>
    </w:p>
  </w:endnote>
  <w:endnote w:id="33">
    <w:p w:rsidR="001E4BF7" w:rsidRDefault="001E4BF7" w:rsidP="001E4BF7">
      <w:pPr>
        <w:pStyle w:val="a7"/>
        <w:rPr>
          <w:rFonts w:hint="cs"/>
          <w:rtl/>
        </w:rPr>
      </w:pPr>
      <w:r>
        <w:rPr>
          <w:rtl/>
        </w:rPr>
        <w:tab/>
      </w:r>
      <w:r w:rsidRPr="00944A81">
        <w:rPr>
          <w:rtl/>
        </w:rPr>
        <w:endnoteRef/>
      </w:r>
      <w:r>
        <w:rPr>
          <w:rtl/>
        </w:rPr>
        <w:t>.</w:t>
      </w:r>
      <w:r>
        <w:rPr>
          <w:rtl/>
        </w:rPr>
        <w:tab/>
      </w:r>
      <w:r>
        <w:rPr>
          <w:rFonts w:hint="cs"/>
          <w:rtl/>
        </w:rPr>
        <w:t>ראה אגרות-קדש כ"ק אדמו"ר מוהריי"צ ח"ט ע' רצ. לקוטי שיחות חי"ב עמ' 178.</w:t>
      </w:r>
    </w:p>
  </w:endnote>
  <w:endnote w:id="34">
    <w:p w:rsidR="001E4BF7" w:rsidRDefault="001E4BF7" w:rsidP="001E4BF7">
      <w:pPr>
        <w:pStyle w:val="a7"/>
        <w:rPr>
          <w:rFonts w:hint="cs"/>
        </w:rPr>
      </w:pPr>
      <w:r>
        <w:rPr>
          <w:rtl/>
        </w:rPr>
        <w:tab/>
      </w:r>
      <w:r w:rsidRPr="00944A81">
        <w:rPr>
          <w:rtl/>
        </w:rPr>
        <w:endnoteRef/>
      </w:r>
      <w:r>
        <w:rPr>
          <w:rtl/>
        </w:rPr>
        <w:t>.</w:t>
      </w:r>
      <w:r>
        <w:rPr>
          <w:rtl/>
        </w:rPr>
        <w:tab/>
      </w:r>
      <w:r>
        <w:rPr>
          <w:rFonts w:hint="cs"/>
          <w:rtl/>
        </w:rPr>
        <w:t>ראה שבת קלה, א. וש"נ.</w:t>
      </w:r>
    </w:p>
  </w:endnote>
  <w:endnote w:id="35">
    <w:p w:rsidR="001E4BF7" w:rsidRDefault="001E4BF7" w:rsidP="001E4BF7">
      <w:pPr>
        <w:pStyle w:val="a7"/>
        <w:rPr>
          <w:rFonts w:hint="cs"/>
          <w:rtl/>
        </w:rPr>
      </w:pPr>
      <w:r>
        <w:rPr>
          <w:rtl/>
        </w:rPr>
        <w:tab/>
      </w:r>
      <w:r w:rsidRPr="00944A81">
        <w:rPr>
          <w:rtl/>
        </w:rPr>
        <w:endnoteRef/>
      </w:r>
      <w:r>
        <w:rPr>
          <w:rtl/>
        </w:rPr>
        <w:t>.</w:t>
      </w:r>
      <w:r>
        <w:rPr>
          <w:rtl/>
        </w:rPr>
        <w:tab/>
      </w:r>
      <w:r>
        <w:rPr>
          <w:rFonts w:hint="cs"/>
          <w:rtl/>
        </w:rPr>
        <w:t>ראה תשובות וביאורים בשו"ע עמ' 445, וראה גם שיחת י"ט כסלו תשמ"ז.</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rFrank">
    <w:altName w:val="Courier New"/>
    <w:charset w:val="00"/>
    <w:family w:val="auto"/>
    <w:pitch w:val="variable"/>
    <w:sig w:usb0="00000000" w:usb1="5000004A"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MF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7B83" w:rsidRDefault="006E7B83" w:rsidP="001E4BF7">
      <w:pPr>
        <w:spacing w:after="0" w:line="240" w:lineRule="auto"/>
      </w:pPr>
      <w:r>
        <w:separator/>
      </w:r>
    </w:p>
  </w:footnote>
  <w:footnote w:type="continuationSeparator" w:id="0">
    <w:p w:rsidR="006E7B83" w:rsidRDefault="006E7B83" w:rsidP="001E4B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5569"/>
    <w:rsid w:val="00061E65"/>
    <w:rsid w:val="001E4BF7"/>
    <w:rsid w:val="006E7B83"/>
    <w:rsid w:val="008D5569"/>
    <w:rsid w:val="00AC23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E4BF7"/>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1E4BF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E4BF7"/>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1E4BF7"/>
    <w:rPr>
      <w:noProof/>
      <w:position w:val="-4"/>
      <w:szCs w:val="26"/>
      <w:vertAlign w:val="superscript"/>
    </w:rPr>
  </w:style>
  <w:style w:type="paragraph" w:styleId="a4">
    <w:name w:val="Quote"/>
    <w:basedOn w:val="a"/>
    <w:link w:val="a5"/>
    <w:qFormat/>
    <w:rsid w:val="001E4BF7"/>
    <w:pPr>
      <w:spacing w:line="360" w:lineRule="exact"/>
      <w:ind w:left="907"/>
      <w:contextualSpacing/>
    </w:pPr>
    <w:rPr>
      <w:rFonts w:cs="Guttman Soncino"/>
      <w:noProof/>
      <w:snapToGrid w:val="0"/>
      <w:sz w:val="23"/>
      <w:szCs w:val="21"/>
      <w:lang w:eastAsia="en-US"/>
    </w:rPr>
  </w:style>
  <w:style w:type="character" w:customStyle="1" w:styleId="a5">
    <w:name w:val="ציטוט תו"/>
    <w:basedOn w:val="a0"/>
    <w:link w:val="a4"/>
    <w:rsid w:val="001E4BF7"/>
    <w:rPr>
      <w:rFonts w:ascii="Times New Roman" w:eastAsia="Times New Roman" w:hAnsi="Times New Roman" w:cs="Guttman Soncino"/>
      <w:noProof/>
      <w:snapToGrid w:val="0"/>
      <w:sz w:val="23"/>
      <w:szCs w:val="21"/>
    </w:rPr>
  </w:style>
  <w:style w:type="character" w:customStyle="1" w:styleId="a6">
    <w:name w:val="מרים"/>
    <w:basedOn w:val="a0"/>
    <w:rsid w:val="001E4BF7"/>
    <w:rPr>
      <w:rFonts w:cs="MiriamMFO"/>
      <w:w w:val="100"/>
      <w:sz w:val="21"/>
      <w:szCs w:val="23"/>
    </w:rPr>
  </w:style>
  <w:style w:type="paragraph" w:styleId="a7">
    <w:name w:val="endnote text"/>
    <w:aliases w:val="Endnote Text"/>
    <w:basedOn w:val="a"/>
    <w:link w:val="a8"/>
    <w:semiHidden/>
    <w:rsid w:val="001E4BF7"/>
    <w:pPr>
      <w:tabs>
        <w:tab w:val="right" w:pos="266"/>
        <w:tab w:val="left" w:pos="340"/>
      </w:tabs>
      <w:spacing w:after="20" w:line="260" w:lineRule="exact"/>
      <w:ind w:left="340" w:hanging="340"/>
    </w:pPr>
    <w:rPr>
      <w:sz w:val="20"/>
      <w:szCs w:val="23"/>
    </w:rPr>
  </w:style>
  <w:style w:type="character" w:customStyle="1" w:styleId="a8">
    <w:name w:val="טקסט הערת סיום תו"/>
    <w:basedOn w:val="a0"/>
    <w:link w:val="a7"/>
    <w:semiHidden/>
    <w:rsid w:val="001E4BF7"/>
    <w:rPr>
      <w:rFonts w:ascii="Times New Roman" w:eastAsia="Times New Roman" w:hAnsi="Times New Roman" w:cs="oprFrank"/>
      <w:sz w:val="20"/>
      <w:szCs w:val="23"/>
      <w:lang w:eastAsia="he-IL"/>
    </w:rPr>
  </w:style>
  <w:style w:type="character" w:styleId="a9">
    <w:name w:val="endnote reference"/>
    <w:aliases w:val="Endnote Reference"/>
    <w:basedOn w:val="a3"/>
    <w:semiHidden/>
    <w:rsid w:val="001E4BF7"/>
    <w:rPr>
      <w:noProof/>
      <w:position w:val="-4"/>
      <w:szCs w:val="27"/>
      <w:vertAlign w:val="superscript"/>
    </w:rPr>
  </w:style>
  <w:style w:type="paragraph" w:customStyle="1" w:styleId="aa">
    <w:name w:val="פתיח תו"/>
    <w:basedOn w:val="a"/>
    <w:link w:val="ab"/>
    <w:rsid w:val="001E4BF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b">
    <w:name w:val="פתיח תו תו"/>
    <w:basedOn w:val="a0"/>
    <w:link w:val="aa"/>
    <w:rsid w:val="001E4BF7"/>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1E4BF7"/>
    <w:pPr>
      <w:bidi/>
      <w:spacing w:after="120" w:line="380" w:lineRule="exact"/>
      <w:jc w:val="both"/>
    </w:pPr>
    <w:rPr>
      <w:rFonts w:ascii="Times New Roman" w:eastAsia="Times New Roman" w:hAnsi="Times New Roman" w:cs="oprFrank"/>
      <w:sz w:val="26"/>
      <w:szCs w:val="27"/>
      <w:lang w:eastAsia="he-IL"/>
    </w:rPr>
  </w:style>
  <w:style w:type="paragraph" w:styleId="2">
    <w:name w:val="heading 2"/>
    <w:aliases w:val="Heading 2"/>
    <w:next w:val="a"/>
    <w:link w:val="20"/>
    <w:qFormat/>
    <w:rsid w:val="001E4BF7"/>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1E4BF7"/>
    <w:rPr>
      <w:rFonts w:ascii="DF Calligraphic Ornaments LET" w:eastAsia="Times New Roman" w:hAnsi="DF Calligraphic Ornaments LET" w:cs="Guttman Soncino"/>
      <w:noProof/>
      <w:spacing w:val="20"/>
      <w:w w:val="90"/>
      <w:kern w:val="28"/>
      <w:sz w:val="44"/>
      <w:szCs w:val="46"/>
    </w:rPr>
  </w:style>
  <w:style w:type="character" w:styleId="a3">
    <w:name w:val="footnote reference"/>
    <w:aliases w:val="Footnote Reference"/>
    <w:basedOn w:val="a0"/>
    <w:semiHidden/>
    <w:rsid w:val="001E4BF7"/>
    <w:rPr>
      <w:noProof/>
      <w:position w:val="-4"/>
      <w:szCs w:val="26"/>
      <w:vertAlign w:val="superscript"/>
    </w:rPr>
  </w:style>
  <w:style w:type="paragraph" w:styleId="a4">
    <w:name w:val="Quote"/>
    <w:basedOn w:val="a"/>
    <w:link w:val="a5"/>
    <w:qFormat/>
    <w:rsid w:val="001E4BF7"/>
    <w:pPr>
      <w:spacing w:line="360" w:lineRule="exact"/>
      <w:ind w:left="907"/>
      <w:contextualSpacing/>
    </w:pPr>
    <w:rPr>
      <w:rFonts w:cs="Guttman Soncino"/>
      <w:noProof/>
      <w:snapToGrid w:val="0"/>
      <w:sz w:val="23"/>
      <w:szCs w:val="21"/>
      <w:lang w:eastAsia="en-US"/>
    </w:rPr>
  </w:style>
  <w:style w:type="character" w:customStyle="1" w:styleId="a5">
    <w:name w:val="ציטוט תו"/>
    <w:basedOn w:val="a0"/>
    <w:link w:val="a4"/>
    <w:rsid w:val="001E4BF7"/>
    <w:rPr>
      <w:rFonts w:ascii="Times New Roman" w:eastAsia="Times New Roman" w:hAnsi="Times New Roman" w:cs="Guttman Soncino"/>
      <w:noProof/>
      <w:snapToGrid w:val="0"/>
      <w:sz w:val="23"/>
      <w:szCs w:val="21"/>
    </w:rPr>
  </w:style>
  <w:style w:type="character" w:customStyle="1" w:styleId="a6">
    <w:name w:val="מרים"/>
    <w:basedOn w:val="a0"/>
    <w:rsid w:val="001E4BF7"/>
    <w:rPr>
      <w:rFonts w:cs="MiriamMFO"/>
      <w:w w:val="100"/>
      <w:sz w:val="21"/>
      <w:szCs w:val="23"/>
    </w:rPr>
  </w:style>
  <w:style w:type="paragraph" w:styleId="a7">
    <w:name w:val="endnote text"/>
    <w:aliases w:val="Endnote Text"/>
    <w:basedOn w:val="a"/>
    <w:link w:val="a8"/>
    <w:semiHidden/>
    <w:rsid w:val="001E4BF7"/>
    <w:pPr>
      <w:tabs>
        <w:tab w:val="right" w:pos="266"/>
        <w:tab w:val="left" w:pos="340"/>
      </w:tabs>
      <w:spacing w:after="20" w:line="260" w:lineRule="exact"/>
      <w:ind w:left="340" w:hanging="340"/>
    </w:pPr>
    <w:rPr>
      <w:sz w:val="20"/>
      <w:szCs w:val="23"/>
    </w:rPr>
  </w:style>
  <w:style w:type="character" w:customStyle="1" w:styleId="a8">
    <w:name w:val="טקסט הערת סיום תו"/>
    <w:basedOn w:val="a0"/>
    <w:link w:val="a7"/>
    <w:semiHidden/>
    <w:rsid w:val="001E4BF7"/>
    <w:rPr>
      <w:rFonts w:ascii="Times New Roman" w:eastAsia="Times New Roman" w:hAnsi="Times New Roman" w:cs="oprFrank"/>
      <w:sz w:val="20"/>
      <w:szCs w:val="23"/>
      <w:lang w:eastAsia="he-IL"/>
    </w:rPr>
  </w:style>
  <w:style w:type="character" w:styleId="a9">
    <w:name w:val="endnote reference"/>
    <w:aliases w:val="Endnote Reference"/>
    <w:basedOn w:val="a3"/>
    <w:semiHidden/>
    <w:rsid w:val="001E4BF7"/>
    <w:rPr>
      <w:noProof/>
      <w:position w:val="-4"/>
      <w:szCs w:val="27"/>
      <w:vertAlign w:val="superscript"/>
    </w:rPr>
  </w:style>
  <w:style w:type="paragraph" w:customStyle="1" w:styleId="aa">
    <w:name w:val="פתיח תו"/>
    <w:basedOn w:val="a"/>
    <w:link w:val="ab"/>
    <w:rsid w:val="001E4BF7"/>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b">
    <w:name w:val="פתיח תו תו"/>
    <w:basedOn w:val="a0"/>
    <w:link w:val="aa"/>
    <w:rsid w:val="001E4BF7"/>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954</Words>
  <Characters>4773</Characters>
  <Application>Microsoft Office Word</Application>
  <DocSecurity>0</DocSecurity>
  <Lines>39</Lines>
  <Paragraphs>11</Paragraphs>
  <ScaleCrop>false</ScaleCrop>
  <Company/>
  <LinksUpToDate>false</LinksUpToDate>
  <CharactersWithSpaces>5716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2017-08-16T10:40:00Z</dcterms:created>
  <dcterms:modified xsi:type="dcterms:W3CDTF">2017-08-16T10:40:00Z</dcterms:modified>
</cp:coreProperties>
</file>