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9E4" w:rsidRDefault="00E379E4" w:rsidP="00E379E4">
      <w:pPr>
        <w:pStyle w:val="2"/>
        <w:rPr>
          <w:rFonts w:hint="cs"/>
          <w:rtl/>
        </w:rPr>
      </w:pPr>
      <w:bookmarkStart w:id="0" w:name="_Toc302128585"/>
      <w:bookmarkStart w:id="1" w:name="_Ref302128823"/>
      <w:r>
        <w:rPr>
          <w:rFonts w:hint="cs"/>
          <w:rtl/>
        </w:rPr>
        <w:t xml:space="preserve">אלול </w:t>
      </w:r>
      <w:r>
        <w:rPr>
          <w:rtl/>
        </w:rPr>
        <w:t>–</w:t>
      </w:r>
      <w:r>
        <w:rPr>
          <w:rFonts w:hint="cs"/>
          <w:rtl/>
        </w:rPr>
        <w:t xml:space="preserve"> התחדשות הנישואין</w:t>
      </w:r>
      <w:bookmarkEnd w:id="0"/>
      <w:bookmarkEnd w:id="1"/>
    </w:p>
    <w:p w:rsidR="00E379E4" w:rsidRPr="002E2CC9" w:rsidRDefault="00E379E4" w:rsidP="00E379E4">
      <w:pPr>
        <w:keepNext/>
        <w:framePr w:dropCap="drop" w:lines="2" w:hSpace="57" w:wrap="around" w:vAnchor="text" w:hAnchor="text" w:xAlign="right"/>
        <w:spacing w:after="0" w:line="760" w:lineRule="exact"/>
        <w:textAlignment w:val="baseline"/>
        <w:rPr>
          <w:rStyle w:val="a9"/>
          <w:rtl/>
        </w:rPr>
      </w:pPr>
      <w:r w:rsidRPr="002E2CC9">
        <w:rPr>
          <w:rStyle w:val="a9"/>
          <w:rFonts w:hint="cs"/>
          <w:rtl/>
        </w:rPr>
        <w:t>ב</w:t>
      </w:r>
    </w:p>
    <w:p w:rsidR="00E379E4" w:rsidRDefault="00E379E4" w:rsidP="00E379E4">
      <w:pPr>
        <w:rPr>
          <w:rFonts w:hint="cs"/>
          <w:rtl/>
        </w:rPr>
      </w:pPr>
      <w:r>
        <w:rPr>
          <w:rFonts w:hint="cs"/>
          <w:rtl/>
        </w:rPr>
        <w:t>כל אחד מחדשי השנה טמונות סגולה וברכה מיוחדות, הבאות לידי ביטוי גם בקביעת זמן הנישואין באותו חדש. עם זאת, החדש המיוחד המסוגל כולו לנישואין</w:t>
      </w:r>
      <w:r w:rsidRPr="008636EE">
        <w:rPr>
          <w:rStyle w:val="a3"/>
          <w:rtl/>
        </w:rPr>
        <w:endnoteReference w:id="1"/>
      </w:r>
      <w:r>
        <w:rPr>
          <w:rFonts w:hint="cs"/>
          <w:rtl/>
        </w:rPr>
        <w:t xml:space="preserve"> הוא </w:t>
      </w:r>
      <w:r w:rsidRPr="002341D1">
        <w:rPr>
          <w:rFonts w:hint="cs"/>
          <w:rtl/>
        </w:rPr>
        <w:t xml:space="preserve">חדש אלול, בו מאירות </w:t>
      </w:r>
      <w:r w:rsidRPr="002341D1">
        <w:rPr>
          <w:rFonts w:hint="cs"/>
          <w:b/>
          <w:bCs/>
          <w:sz w:val="28"/>
          <w:szCs w:val="28"/>
          <w:rtl/>
        </w:rPr>
        <w:t>יג</w:t>
      </w:r>
      <w:r w:rsidRPr="002341D1">
        <w:rPr>
          <w:rFonts w:hint="cs"/>
          <w:rtl/>
        </w:rPr>
        <w:t xml:space="preserve"> מדות הרחמים</w:t>
      </w:r>
      <w:r w:rsidRPr="008636EE">
        <w:rPr>
          <w:rStyle w:val="a3"/>
          <w:rtl/>
        </w:rPr>
        <w:endnoteReference w:id="2"/>
      </w:r>
      <w:r w:rsidRPr="002341D1">
        <w:rPr>
          <w:rFonts w:hint="cs"/>
          <w:rtl/>
        </w:rPr>
        <w:t xml:space="preserve"> (וכן </w:t>
      </w:r>
      <w:r w:rsidRPr="002341D1">
        <w:rPr>
          <w:rFonts w:hint="cs"/>
          <w:b/>
          <w:bCs/>
          <w:sz w:val="28"/>
          <w:szCs w:val="28"/>
          <w:rtl/>
        </w:rPr>
        <w:t>אלול</w:t>
      </w:r>
      <w:r w:rsidRPr="002341D1">
        <w:rPr>
          <w:rFonts w:hint="cs"/>
          <w:rtl/>
        </w:rPr>
        <w:t xml:space="preserve"> במספר קטן עולה </w:t>
      </w:r>
      <w:r w:rsidRPr="002341D1">
        <w:rPr>
          <w:rFonts w:hint="cs"/>
          <w:b/>
          <w:bCs/>
          <w:sz w:val="28"/>
          <w:szCs w:val="28"/>
          <w:rtl/>
        </w:rPr>
        <w:t>יג</w:t>
      </w:r>
      <w:r w:rsidRPr="002341D1">
        <w:rPr>
          <w:rFonts w:hint="cs"/>
          <w:rtl/>
        </w:rPr>
        <w:t xml:space="preserve">) </w:t>
      </w:r>
      <w:r w:rsidRPr="002341D1">
        <w:rPr>
          <w:rtl/>
        </w:rPr>
        <w:t>–</w:t>
      </w:r>
      <w:r w:rsidRPr="002341D1">
        <w:rPr>
          <w:rFonts w:hint="cs"/>
          <w:rtl/>
        </w:rPr>
        <w:t xml:space="preserve"> </w:t>
      </w:r>
      <w:r w:rsidRPr="002341D1">
        <w:rPr>
          <w:rFonts w:hint="cs"/>
          <w:b/>
          <w:bCs/>
          <w:sz w:val="28"/>
          <w:szCs w:val="28"/>
          <w:rtl/>
        </w:rPr>
        <w:t>יג</w:t>
      </w:r>
      <w:r w:rsidRPr="002341D1">
        <w:rPr>
          <w:rFonts w:hint="cs"/>
          <w:rtl/>
        </w:rPr>
        <w:t xml:space="preserve"> בגימטריא </w:t>
      </w:r>
      <w:r w:rsidRPr="002341D1">
        <w:rPr>
          <w:rFonts w:hint="cs"/>
          <w:b/>
          <w:bCs/>
          <w:sz w:val="28"/>
          <w:szCs w:val="28"/>
          <w:rtl/>
        </w:rPr>
        <w:t>אהבה</w:t>
      </w:r>
      <w:r w:rsidRPr="008636EE">
        <w:rPr>
          <w:rStyle w:val="a3"/>
          <w:rtl/>
        </w:rPr>
        <w:endnoteReference w:id="3"/>
      </w:r>
      <w:r w:rsidRPr="002341D1">
        <w:rPr>
          <w:rFonts w:hint="cs"/>
          <w:rtl/>
        </w:rPr>
        <w:t>, ומדות ה</w:t>
      </w:r>
      <w:r w:rsidRPr="00D91656">
        <w:rPr>
          <w:rStyle w:val="a4"/>
          <w:rFonts w:hint="cs"/>
          <w:rtl/>
        </w:rPr>
        <w:t>רחמים</w:t>
      </w:r>
      <w:r w:rsidRPr="002341D1">
        <w:rPr>
          <w:rFonts w:hint="cs"/>
          <w:rtl/>
        </w:rPr>
        <w:t xml:space="preserve"> רומזות לתוקף האהבה של "</w:t>
      </w:r>
      <w:r w:rsidRPr="00D91656">
        <w:rPr>
          <w:rStyle w:val="a4"/>
          <w:rFonts w:hint="cs"/>
          <w:rtl/>
        </w:rPr>
        <w:t>ארחמך</w:t>
      </w:r>
      <w:r w:rsidRPr="002341D1">
        <w:rPr>
          <w:rFonts w:hint="cs"/>
          <w:rtl/>
        </w:rPr>
        <w:t xml:space="preserve"> הוי' חזקי"</w:t>
      </w:r>
      <w:r w:rsidRPr="008636EE">
        <w:rPr>
          <w:rStyle w:val="a3"/>
          <w:rtl/>
        </w:rPr>
        <w:endnoteReference w:id="4"/>
      </w:r>
      <w:r w:rsidRPr="002341D1">
        <w:rPr>
          <w:rFonts w:hint="cs"/>
          <w:rtl/>
        </w:rPr>
        <w:t xml:space="preserve"> (ביטוי בן </w:t>
      </w:r>
      <w:r w:rsidRPr="002341D1">
        <w:rPr>
          <w:rFonts w:hint="cs"/>
          <w:b/>
          <w:bCs/>
          <w:sz w:val="28"/>
          <w:szCs w:val="28"/>
          <w:rtl/>
        </w:rPr>
        <w:t>יג</w:t>
      </w:r>
      <w:r w:rsidRPr="002341D1">
        <w:rPr>
          <w:rFonts w:hint="cs"/>
          <w:rtl/>
        </w:rPr>
        <w:t xml:space="preserve"> אותיות). ואכן, ראשי התיבות המפורסמים ביותר של </w:t>
      </w:r>
      <w:r w:rsidRPr="002341D1">
        <w:rPr>
          <w:rFonts w:hint="cs"/>
          <w:b/>
          <w:bCs/>
          <w:sz w:val="28"/>
          <w:szCs w:val="28"/>
          <w:rtl/>
        </w:rPr>
        <w:t>אלול</w:t>
      </w:r>
      <w:r w:rsidRPr="008636EE">
        <w:rPr>
          <w:rStyle w:val="a3"/>
          <w:rtl/>
        </w:rPr>
        <w:endnoteReference w:id="5"/>
      </w:r>
      <w:r w:rsidRPr="002341D1">
        <w:rPr>
          <w:rFonts w:hint="cs"/>
          <w:rtl/>
        </w:rPr>
        <w:t xml:space="preserve"> רומז</w:t>
      </w:r>
      <w:r>
        <w:rPr>
          <w:rFonts w:hint="cs"/>
          <w:rtl/>
        </w:rPr>
        <w:t>ים לפסוק האהבה בשיר השירים, "</w:t>
      </w:r>
      <w:r w:rsidRPr="00493952">
        <w:rPr>
          <w:rFonts w:hint="cs"/>
          <w:b/>
          <w:bCs/>
          <w:sz w:val="28"/>
          <w:szCs w:val="28"/>
          <w:rtl/>
        </w:rPr>
        <w:t>א</w:t>
      </w:r>
      <w:r>
        <w:rPr>
          <w:rFonts w:hint="cs"/>
          <w:rtl/>
        </w:rPr>
        <w:t xml:space="preserve">ני </w:t>
      </w:r>
      <w:r w:rsidRPr="00493952">
        <w:rPr>
          <w:rFonts w:hint="cs"/>
          <w:b/>
          <w:bCs/>
          <w:sz w:val="28"/>
          <w:szCs w:val="28"/>
          <w:rtl/>
        </w:rPr>
        <w:t>ל</w:t>
      </w:r>
      <w:r>
        <w:rPr>
          <w:rFonts w:hint="cs"/>
          <w:rtl/>
        </w:rPr>
        <w:t xml:space="preserve">דודי </w:t>
      </w:r>
      <w:r w:rsidRPr="00493952">
        <w:rPr>
          <w:rFonts w:hint="cs"/>
          <w:b/>
          <w:bCs/>
          <w:sz w:val="28"/>
          <w:szCs w:val="28"/>
          <w:rtl/>
        </w:rPr>
        <w:t>ו</w:t>
      </w:r>
      <w:r>
        <w:rPr>
          <w:rFonts w:hint="cs"/>
          <w:rtl/>
        </w:rPr>
        <w:t xml:space="preserve">דודי </w:t>
      </w:r>
      <w:r w:rsidRPr="00493952">
        <w:rPr>
          <w:rFonts w:hint="cs"/>
          <w:b/>
          <w:bCs/>
          <w:sz w:val="28"/>
          <w:szCs w:val="28"/>
          <w:rtl/>
        </w:rPr>
        <w:t>ל</w:t>
      </w:r>
      <w:r>
        <w:rPr>
          <w:rFonts w:hint="cs"/>
          <w:rtl/>
        </w:rPr>
        <w:t>י"</w:t>
      </w:r>
      <w:r w:rsidRPr="008636EE">
        <w:rPr>
          <w:rStyle w:val="a3"/>
          <w:rtl/>
        </w:rPr>
        <w:endnoteReference w:id="6"/>
      </w:r>
      <w:r>
        <w:rPr>
          <w:rFonts w:hint="cs"/>
          <w:rtl/>
        </w:rPr>
        <w:t>.</w:t>
      </w:r>
    </w:p>
    <w:p w:rsidR="00E379E4" w:rsidRDefault="00E379E4" w:rsidP="00E379E4">
      <w:pPr>
        <w:rPr>
          <w:rFonts w:hint="cs"/>
          <w:rtl/>
        </w:rPr>
      </w:pPr>
      <w:r>
        <w:rPr>
          <w:rFonts w:hint="cs"/>
          <w:rtl/>
        </w:rPr>
        <w:t xml:space="preserve">בדרך כלל משמש הפסוק כמשל לעבודת התשובה הרצויה בחדש אלול: "תשובה מאהבה" </w:t>
      </w:r>
      <w:r>
        <w:rPr>
          <w:rtl/>
        </w:rPr>
        <w:t>–</w:t>
      </w:r>
      <w:r>
        <w:rPr>
          <w:rFonts w:hint="cs"/>
          <w:rtl/>
        </w:rPr>
        <w:t xml:space="preserve"> תשובה לעבודת ה' מאהבה, עבודה המדגישה את קשר הדוד והרעיה בינינו לבין בוראנו</w:t>
      </w:r>
      <w:r w:rsidRPr="008636EE">
        <w:rPr>
          <w:rStyle w:val="a3"/>
          <w:rtl/>
        </w:rPr>
        <w:endnoteReference w:id="7"/>
      </w:r>
      <w:r>
        <w:rPr>
          <w:rFonts w:hint="cs"/>
          <w:rtl/>
        </w:rPr>
        <w:t>. אמנם, ניתן גם ללמוד מראשי התיבות הללו כי תשובה מיוחדת נדרשת בחדש אלול בתחום האהבה בין איש ואשתו. הדבר רמוז גם במזלו של חדש אלול, מזל בתולה, שענינו חזרה לנקודת ההתחלה של חיי הנישואין (המשמשת גם משל לנקודת התום הפנימית בכל ההקשר של עבודת ה', כמובן</w:t>
      </w:r>
      <w:bookmarkStart w:id="2" w:name="_Ref302075553"/>
      <w:r w:rsidRPr="008636EE">
        <w:rPr>
          <w:rStyle w:val="a3"/>
          <w:rtl/>
        </w:rPr>
        <w:endnoteReference w:id="8"/>
      </w:r>
      <w:bookmarkEnd w:id="2"/>
      <w:r>
        <w:rPr>
          <w:rFonts w:hint="cs"/>
          <w:rtl/>
        </w:rPr>
        <w:t>). בסגנון אחר, בלי להצטמצם לימי אלול לבדם, הקשר בין חדש אלול ועבודתו המיוחדת לחיי הנישואין רומז לצורך בתשובה והתחדשות מתמדת בחיי הנישואין.</w:t>
      </w:r>
    </w:p>
    <w:p w:rsidR="00E379E4" w:rsidRDefault="00E379E4" w:rsidP="00E379E4">
      <w:pPr>
        <w:rPr>
          <w:rFonts w:hint="cs"/>
          <w:rtl/>
        </w:rPr>
      </w:pPr>
      <w:r>
        <w:rPr>
          <w:rFonts w:hint="cs"/>
          <w:rtl/>
        </w:rPr>
        <w:t xml:space="preserve">אותיות </w:t>
      </w:r>
      <w:r w:rsidRPr="004B6528">
        <w:rPr>
          <w:rFonts w:hint="cs"/>
          <w:b/>
          <w:bCs/>
          <w:sz w:val="28"/>
          <w:szCs w:val="28"/>
          <w:rtl/>
        </w:rPr>
        <w:t>אלול</w:t>
      </w:r>
      <w:r>
        <w:rPr>
          <w:rFonts w:hint="cs"/>
          <w:rtl/>
        </w:rPr>
        <w:t xml:space="preserve"> הן ראשי התיבות של עוד ביטויים, בנוסף ל"</w:t>
      </w:r>
      <w:r w:rsidRPr="004B6528">
        <w:rPr>
          <w:rFonts w:hint="cs"/>
          <w:b/>
          <w:bCs/>
          <w:sz w:val="28"/>
          <w:szCs w:val="28"/>
          <w:rtl/>
        </w:rPr>
        <w:t>א</w:t>
      </w:r>
      <w:r>
        <w:rPr>
          <w:rFonts w:hint="cs"/>
          <w:rtl/>
        </w:rPr>
        <w:t xml:space="preserve">ני </w:t>
      </w:r>
      <w:r w:rsidRPr="004B6528">
        <w:rPr>
          <w:rFonts w:hint="cs"/>
          <w:b/>
          <w:bCs/>
          <w:sz w:val="28"/>
          <w:szCs w:val="28"/>
          <w:rtl/>
        </w:rPr>
        <w:t>ל</w:t>
      </w:r>
      <w:r>
        <w:rPr>
          <w:rFonts w:hint="cs"/>
          <w:rtl/>
        </w:rPr>
        <w:t xml:space="preserve">דודי </w:t>
      </w:r>
      <w:r w:rsidRPr="004B6528">
        <w:rPr>
          <w:rFonts w:hint="cs"/>
          <w:b/>
          <w:bCs/>
          <w:sz w:val="28"/>
          <w:szCs w:val="28"/>
          <w:rtl/>
        </w:rPr>
        <w:t>ו</w:t>
      </w:r>
      <w:r>
        <w:rPr>
          <w:rFonts w:hint="cs"/>
          <w:rtl/>
        </w:rPr>
        <w:t xml:space="preserve">דודי </w:t>
      </w:r>
      <w:r w:rsidRPr="004B6528">
        <w:rPr>
          <w:rFonts w:hint="cs"/>
          <w:b/>
          <w:bCs/>
          <w:sz w:val="28"/>
          <w:szCs w:val="28"/>
          <w:rtl/>
        </w:rPr>
        <w:t>ל</w:t>
      </w:r>
      <w:r>
        <w:rPr>
          <w:rFonts w:hint="cs"/>
          <w:rtl/>
        </w:rPr>
        <w:t>י", והרבי מליובאוויטש הדגיש תמיד</w:t>
      </w:r>
      <w:bookmarkStart w:id="3" w:name="_Ref299901386"/>
      <w:r w:rsidRPr="008636EE">
        <w:rPr>
          <w:rStyle w:val="a3"/>
          <w:rtl/>
        </w:rPr>
        <w:endnoteReference w:id="9"/>
      </w:r>
      <w:bookmarkEnd w:id="3"/>
      <w:r>
        <w:rPr>
          <w:rFonts w:hint="cs"/>
          <w:rtl/>
        </w:rPr>
        <w:t xml:space="preserve"> חמשה ביטויים: </w:t>
      </w:r>
    </w:p>
    <w:p w:rsidR="00E379E4" w:rsidRDefault="00E379E4" w:rsidP="00E379E4">
      <w:pPr>
        <w:numPr>
          <w:ilvl w:val="0"/>
          <w:numId w:val="1"/>
        </w:numPr>
        <w:tabs>
          <w:tab w:val="clear" w:pos="1287"/>
          <w:tab w:val="num" w:pos="195"/>
          <w:tab w:val="num" w:pos="360"/>
        </w:tabs>
        <w:spacing w:line="360" w:lineRule="exact"/>
        <w:ind w:left="360"/>
        <w:rPr>
          <w:rFonts w:hint="cs"/>
          <w:rtl/>
        </w:rPr>
      </w:pPr>
      <w:r>
        <w:rPr>
          <w:rFonts w:hint="cs"/>
          <w:rtl/>
        </w:rPr>
        <w:t>"</w:t>
      </w:r>
      <w:r w:rsidRPr="0083669A">
        <w:rPr>
          <w:rFonts w:hint="cs"/>
          <w:rtl/>
        </w:rPr>
        <w:t>א</w:t>
      </w:r>
      <w:r>
        <w:rPr>
          <w:rFonts w:hint="cs"/>
          <w:rtl/>
        </w:rPr>
        <w:t xml:space="preserve">ני </w:t>
      </w:r>
      <w:r w:rsidRPr="0083669A">
        <w:rPr>
          <w:rFonts w:hint="cs"/>
          <w:rtl/>
        </w:rPr>
        <w:t>ל</w:t>
      </w:r>
      <w:r>
        <w:rPr>
          <w:rFonts w:hint="cs"/>
          <w:rtl/>
        </w:rPr>
        <w:t xml:space="preserve">דודי </w:t>
      </w:r>
      <w:r w:rsidRPr="0083669A">
        <w:rPr>
          <w:rFonts w:hint="cs"/>
          <w:rtl/>
        </w:rPr>
        <w:t>ו</w:t>
      </w:r>
      <w:r>
        <w:rPr>
          <w:rFonts w:hint="cs"/>
          <w:rtl/>
        </w:rPr>
        <w:t xml:space="preserve">דודי </w:t>
      </w:r>
      <w:r w:rsidRPr="0083669A">
        <w:rPr>
          <w:rFonts w:hint="cs"/>
          <w:rtl/>
        </w:rPr>
        <w:t>ל</w:t>
      </w:r>
      <w:r>
        <w:rPr>
          <w:rFonts w:hint="cs"/>
          <w:rtl/>
        </w:rPr>
        <w:t>י"</w:t>
      </w:r>
    </w:p>
    <w:p w:rsidR="00E379E4" w:rsidRDefault="00E379E4" w:rsidP="00E379E4">
      <w:pPr>
        <w:numPr>
          <w:ilvl w:val="0"/>
          <w:numId w:val="1"/>
        </w:numPr>
        <w:tabs>
          <w:tab w:val="clear" w:pos="1287"/>
          <w:tab w:val="num" w:pos="195"/>
          <w:tab w:val="num" w:pos="1080"/>
        </w:tabs>
        <w:spacing w:line="360" w:lineRule="exact"/>
        <w:ind w:left="360"/>
        <w:rPr>
          <w:rFonts w:hint="cs"/>
          <w:rtl/>
        </w:rPr>
      </w:pPr>
      <w:r>
        <w:rPr>
          <w:rFonts w:hint="cs"/>
          <w:rtl/>
        </w:rPr>
        <w:t>"</w:t>
      </w:r>
      <w:r w:rsidRPr="0083669A">
        <w:rPr>
          <w:rFonts w:hint="cs"/>
          <w:rtl/>
        </w:rPr>
        <w:t>א</w:t>
      </w:r>
      <w:r>
        <w:rPr>
          <w:rFonts w:hint="cs"/>
          <w:rtl/>
        </w:rPr>
        <w:t xml:space="preserve">יש </w:t>
      </w:r>
      <w:r w:rsidRPr="0083669A">
        <w:rPr>
          <w:rFonts w:hint="cs"/>
          <w:rtl/>
        </w:rPr>
        <w:t>ל</w:t>
      </w:r>
      <w:r>
        <w:rPr>
          <w:rFonts w:hint="cs"/>
          <w:rtl/>
        </w:rPr>
        <w:t xml:space="preserve">רעהו </w:t>
      </w:r>
      <w:r w:rsidRPr="0083669A">
        <w:rPr>
          <w:rFonts w:hint="cs"/>
          <w:rtl/>
        </w:rPr>
        <w:t>ו</w:t>
      </w:r>
      <w:r>
        <w:rPr>
          <w:rFonts w:hint="cs"/>
          <w:rtl/>
        </w:rPr>
        <w:t xml:space="preserve">מתנות </w:t>
      </w:r>
      <w:r w:rsidRPr="0083669A">
        <w:rPr>
          <w:rFonts w:hint="cs"/>
          <w:rtl/>
        </w:rPr>
        <w:t>ל</w:t>
      </w:r>
      <w:r>
        <w:rPr>
          <w:rFonts w:hint="cs"/>
          <w:rtl/>
        </w:rPr>
        <w:t>אביונים"</w:t>
      </w:r>
      <w:r w:rsidRPr="008636EE">
        <w:rPr>
          <w:rStyle w:val="a3"/>
          <w:rtl/>
        </w:rPr>
        <w:endnoteReference w:id="10"/>
      </w:r>
    </w:p>
    <w:p w:rsidR="00E379E4" w:rsidRDefault="00E379E4" w:rsidP="00E379E4">
      <w:pPr>
        <w:numPr>
          <w:ilvl w:val="0"/>
          <w:numId w:val="1"/>
        </w:numPr>
        <w:tabs>
          <w:tab w:val="clear" w:pos="1287"/>
          <w:tab w:val="num" w:pos="195"/>
        </w:tabs>
        <w:spacing w:line="360" w:lineRule="exact"/>
        <w:ind w:left="360"/>
        <w:rPr>
          <w:rFonts w:hint="cs"/>
          <w:rtl/>
        </w:rPr>
      </w:pPr>
      <w:r>
        <w:rPr>
          <w:rFonts w:hint="cs"/>
          <w:rtl/>
        </w:rPr>
        <w:t>"</w:t>
      </w:r>
      <w:r w:rsidRPr="0083669A">
        <w:rPr>
          <w:rFonts w:hint="cs"/>
          <w:rtl/>
        </w:rPr>
        <w:t>א</w:t>
      </w:r>
      <w:r>
        <w:rPr>
          <w:rFonts w:hint="cs"/>
          <w:rtl/>
        </w:rPr>
        <w:t xml:space="preserve">נה </w:t>
      </w:r>
      <w:r w:rsidRPr="0083669A">
        <w:rPr>
          <w:rFonts w:hint="cs"/>
          <w:rtl/>
        </w:rPr>
        <w:t>ל</w:t>
      </w:r>
      <w:r>
        <w:rPr>
          <w:rFonts w:hint="cs"/>
          <w:rtl/>
        </w:rPr>
        <w:t xml:space="preserve">ידו </w:t>
      </w:r>
      <w:r w:rsidRPr="0083669A">
        <w:rPr>
          <w:rFonts w:hint="cs"/>
          <w:rtl/>
        </w:rPr>
        <w:t>ו</w:t>
      </w:r>
      <w:r>
        <w:rPr>
          <w:rFonts w:hint="cs"/>
          <w:rtl/>
        </w:rPr>
        <w:t xml:space="preserve">שמתי </w:t>
      </w:r>
      <w:r w:rsidRPr="0083669A">
        <w:rPr>
          <w:rFonts w:hint="cs"/>
          <w:rtl/>
        </w:rPr>
        <w:t>ל</w:t>
      </w:r>
      <w:r>
        <w:rPr>
          <w:rFonts w:hint="cs"/>
          <w:rtl/>
        </w:rPr>
        <w:t>ך"</w:t>
      </w:r>
      <w:r w:rsidRPr="008636EE">
        <w:rPr>
          <w:rStyle w:val="a3"/>
          <w:rtl/>
        </w:rPr>
        <w:endnoteReference w:id="11"/>
      </w:r>
    </w:p>
    <w:p w:rsidR="00E379E4" w:rsidRDefault="00E379E4" w:rsidP="00E379E4">
      <w:pPr>
        <w:numPr>
          <w:ilvl w:val="0"/>
          <w:numId w:val="1"/>
        </w:numPr>
        <w:tabs>
          <w:tab w:val="clear" w:pos="1287"/>
          <w:tab w:val="num" w:pos="195"/>
        </w:tabs>
        <w:spacing w:line="360" w:lineRule="exact"/>
        <w:ind w:left="360"/>
        <w:rPr>
          <w:rFonts w:hint="cs"/>
          <w:rtl/>
        </w:rPr>
      </w:pPr>
      <w:r>
        <w:rPr>
          <w:rFonts w:hint="cs"/>
          <w:rtl/>
        </w:rPr>
        <w:t>"</w:t>
      </w:r>
      <w:r w:rsidRPr="0083669A">
        <w:rPr>
          <w:rFonts w:hint="cs"/>
          <w:rtl/>
        </w:rPr>
        <w:t>א</w:t>
      </w:r>
      <w:r>
        <w:rPr>
          <w:rFonts w:hint="cs"/>
          <w:rtl/>
        </w:rPr>
        <w:t xml:space="preserve">ת </w:t>
      </w:r>
      <w:r w:rsidRPr="0083669A">
        <w:rPr>
          <w:rFonts w:hint="cs"/>
          <w:rtl/>
        </w:rPr>
        <w:t>ל</w:t>
      </w:r>
      <w:r>
        <w:rPr>
          <w:rFonts w:hint="cs"/>
          <w:rtl/>
        </w:rPr>
        <w:t xml:space="preserve">בבך </w:t>
      </w:r>
      <w:r w:rsidRPr="0083669A">
        <w:rPr>
          <w:rFonts w:hint="cs"/>
          <w:rtl/>
        </w:rPr>
        <w:t>ו</w:t>
      </w:r>
      <w:r>
        <w:rPr>
          <w:rFonts w:hint="cs"/>
          <w:rtl/>
        </w:rPr>
        <w:t xml:space="preserve">את </w:t>
      </w:r>
      <w:r w:rsidRPr="0083669A">
        <w:rPr>
          <w:rFonts w:hint="cs"/>
          <w:rtl/>
        </w:rPr>
        <w:t>ל</w:t>
      </w:r>
      <w:r>
        <w:rPr>
          <w:rFonts w:hint="cs"/>
          <w:rtl/>
        </w:rPr>
        <w:t>בב"</w:t>
      </w:r>
      <w:r w:rsidRPr="008636EE">
        <w:rPr>
          <w:rStyle w:val="a3"/>
          <w:rtl/>
        </w:rPr>
        <w:endnoteReference w:id="12"/>
      </w:r>
    </w:p>
    <w:p w:rsidR="00E379E4" w:rsidRDefault="00E379E4" w:rsidP="00E379E4">
      <w:pPr>
        <w:numPr>
          <w:ilvl w:val="0"/>
          <w:numId w:val="1"/>
        </w:numPr>
        <w:tabs>
          <w:tab w:val="clear" w:pos="1287"/>
          <w:tab w:val="num" w:pos="195"/>
        </w:tabs>
        <w:spacing w:line="360" w:lineRule="exact"/>
        <w:ind w:left="360"/>
        <w:rPr>
          <w:rFonts w:hint="cs"/>
          <w:rtl/>
        </w:rPr>
      </w:pPr>
      <w:r>
        <w:rPr>
          <w:rFonts w:hint="cs"/>
          <w:rtl/>
        </w:rPr>
        <w:t>"</w:t>
      </w:r>
      <w:r w:rsidRPr="0083669A">
        <w:rPr>
          <w:rFonts w:hint="cs"/>
          <w:rtl/>
        </w:rPr>
        <w:t>ל</w:t>
      </w:r>
      <w:r>
        <w:rPr>
          <w:rFonts w:hint="cs"/>
          <w:rtl/>
        </w:rPr>
        <w:t xml:space="preserve">הוי' </w:t>
      </w:r>
      <w:r w:rsidRPr="0083669A">
        <w:rPr>
          <w:rFonts w:hint="cs"/>
          <w:rtl/>
        </w:rPr>
        <w:t>ו</w:t>
      </w:r>
      <w:r>
        <w:rPr>
          <w:rFonts w:hint="cs"/>
          <w:rtl/>
        </w:rPr>
        <w:t xml:space="preserve">יאמרו </w:t>
      </w:r>
      <w:r w:rsidRPr="0083669A">
        <w:rPr>
          <w:rFonts w:hint="cs"/>
          <w:rtl/>
        </w:rPr>
        <w:t>ל</w:t>
      </w:r>
      <w:r>
        <w:rPr>
          <w:rFonts w:hint="cs"/>
          <w:rtl/>
        </w:rPr>
        <w:t xml:space="preserve">אמר </w:t>
      </w:r>
      <w:r w:rsidRPr="0083669A">
        <w:rPr>
          <w:rFonts w:hint="cs"/>
          <w:rtl/>
        </w:rPr>
        <w:t>א</w:t>
      </w:r>
      <w:r>
        <w:rPr>
          <w:rFonts w:hint="cs"/>
          <w:rtl/>
        </w:rPr>
        <w:t>שירה"</w:t>
      </w:r>
      <w:r w:rsidRPr="008636EE">
        <w:rPr>
          <w:rStyle w:val="a3"/>
          <w:rtl/>
        </w:rPr>
        <w:endnoteReference w:id="13"/>
      </w:r>
    </w:p>
    <w:p w:rsidR="005F4A47" w:rsidRDefault="00E379E4" w:rsidP="00E379E4">
      <w:r>
        <w:rPr>
          <w:rFonts w:hint="cs"/>
          <w:rtl/>
        </w:rPr>
        <w:lastRenderedPageBreak/>
        <w:t>את חמשת הביטויים הללו מקביל הרבי</w:t>
      </w:r>
      <w:r w:rsidRPr="00EC5994">
        <w:rPr>
          <w:rStyle w:val="a7"/>
          <w:rtl/>
        </w:rPr>
        <w:fldChar w:fldCharType="begin"/>
      </w:r>
      <w:r w:rsidRPr="00EC5994">
        <w:rPr>
          <w:rStyle w:val="a7"/>
          <w:rtl/>
        </w:rPr>
        <w:instrText xml:space="preserve"> </w:instrText>
      </w:r>
      <w:r w:rsidRPr="00EC5994">
        <w:rPr>
          <w:rStyle w:val="a7"/>
          <w:rFonts w:hint="cs"/>
        </w:rPr>
        <w:instrText>NOTEREF</w:instrText>
      </w:r>
      <w:r w:rsidRPr="00EC5994">
        <w:rPr>
          <w:rStyle w:val="a7"/>
          <w:rFonts w:hint="cs"/>
          <w:rtl/>
        </w:rPr>
        <w:instrText xml:space="preserve"> _</w:instrText>
      </w:r>
      <w:r w:rsidRPr="00EC5994">
        <w:rPr>
          <w:rStyle w:val="a7"/>
          <w:rFonts w:hint="cs"/>
        </w:rPr>
        <w:instrText>Ref299901386 \h</w:instrText>
      </w:r>
      <w:r w:rsidRPr="00EC5994">
        <w:rPr>
          <w:rStyle w:val="a7"/>
          <w:rtl/>
        </w:rPr>
        <w:instrText xml:space="preserve"> </w:instrText>
      </w:r>
      <w:r w:rsidRPr="00EC5994">
        <w:rPr>
          <w:rStyle w:val="a7"/>
        </w:rPr>
      </w:r>
      <w:r>
        <w:rPr>
          <w:rStyle w:val="a7"/>
        </w:rPr>
        <w:instrText xml:space="preserve"> \* MERGEFORMAT </w:instrText>
      </w:r>
      <w:r w:rsidRPr="00EC5994">
        <w:rPr>
          <w:rStyle w:val="a7"/>
          <w:rtl/>
        </w:rPr>
        <w:fldChar w:fldCharType="separate"/>
      </w:r>
      <w:r>
        <w:rPr>
          <w:rStyle w:val="a7"/>
          <w:rtl/>
        </w:rPr>
        <w:t>ט</w:t>
      </w:r>
      <w:r w:rsidRPr="00EC5994">
        <w:rPr>
          <w:rStyle w:val="a7"/>
          <w:rtl/>
        </w:rPr>
        <w:fldChar w:fldCharType="end"/>
      </w:r>
      <w:r>
        <w:rPr>
          <w:rFonts w:hint="cs"/>
          <w:rtl/>
        </w:rPr>
        <w:t xml:space="preserve"> (כסדרם) לשלשת העמודים עליהם עומד העולם </w:t>
      </w:r>
      <w:r>
        <w:rPr>
          <w:rtl/>
        </w:rPr>
        <w:t>–</w:t>
      </w:r>
      <w:r>
        <w:rPr>
          <w:rFonts w:hint="cs"/>
          <w:rtl/>
        </w:rPr>
        <w:t xml:space="preserve"> עבודה (תפלה), גמילות חסדים, תורה </w:t>
      </w:r>
      <w:r>
        <w:rPr>
          <w:rtl/>
        </w:rPr>
        <w:t>–</w:t>
      </w:r>
      <w:r>
        <w:rPr>
          <w:rFonts w:hint="cs"/>
          <w:rtl/>
        </w:rPr>
        <w:t xml:space="preserve"> לעבודת התשובה ולשמחת הגאולה (וכן מכוונים חמשת הענינים הללו בעבודת ה' גם כנגד חמש המדרגות נפש-רוח-נשמה-חיה-יחידה</w:t>
      </w:r>
      <w:r w:rsidRPr="008636EE">
        <w:rPr>
          <w:rStyle w:val="a3"/>
          <w:rtl/>
        </w:rPr>
        <w:endnoteReference w:id="14"/>
      </w:r>
      <w:r>
        <w:rPr>
          <w:rFonts w:hint="cs"/>
          <w:rtl/>
        </w:rPr>
        <w:t>). בשער זה תבוא התבוננות בכל אחד מחמשת הביטויים בהקשר המיוחד של חיי הנישואין ועבודת התיקון וההתחדשות שלהם.</w:t>
      </w:r>
      <w:bookmarkStart w:id="4" w:name="_GoBack"/>
      <w:bookmarkEnd w:id="4"/>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7E5" w:rsidRDefault="00F317E5" w:rsidP="00E379E4">
      <w:pPr>
        <w:spacing w:after="0" w:line="240" w:lineRule="auto"/>
      </w:pPr>
      <w:r>
        <w:separator/>
      </w:r>
    </w:p>
  </w:endnote>
  <w:endnote w:type="continuationSeparator" w:id="0">
    <w:p w:rsidR="00F317E5" w:rsidRDefault="00F317E5" w:rsidP="00E379E4">
      <w:pPr>
        <w:spacing w:after="0" w:line="240" w:lineRule="auto"/>
      </w:pPr>
      <w:r>
        <w:continuationSeparator/>
      </w:r>
    </w:p>
  </w:endnote>
  <w:endnote w:id="1">
    <w:p w:rsidR="00E379E4" w:rsidRPr="003A7F16" w:rsidRDefault="00E379E4" w:rsidP="00E379E4">
      <w:pPr>
        <w:pStyle w:val="a5"/>
        <w:rPr>
          <w:rFonts w:hint="cs"/>
          <w:rtl/>
        </w:rPr>
      </w:pPr>
      <w:r>
        <w:rPr>
          <w:rtl/>
        </w:rPr>
        <w:tab/>
      </w:r>
      <w:r w:rsidRPr="00944A81">
        <w:rPr>
          <w:rtl/>
        </w:rPr>
        <w:endnoteRef/>
      </w:r>
      <w:r>
        <w:rPr>
          <w:rtl/>
        </w:rPr>
        <w:t>.</w:t>
      </w:r>
      <w:r>
        <w:rPr>
          <w:rtl/>
        </w:rPr>
        <w:tab/>
      </w:r>
      <w:r>
        <w:rPr>
          <w:rFonts w:hint="cs"/>
          <w:rtl/>
        </w:rPr>
        <w:t>ראה אגרות קדש ח"כ אגרת ז'תשכב: "</w:t>
      </w:r>
      <w:r w:rsidRPr="003A7F16">
        <w:rPr>
          <w:rtl/>
        </w:rPr>
        <w:t>בחדש אלול שעה טובה ומוצלחת לנישואין במשך כל החודש, כי חודש הרחמים ורצון (כימים ראשונים) הוא ומזלו בתולה. וכמובא באחרונים</w:t>
      </w:r>
      <w:r>
        <w:rPr>
          <w:rFonts w:hint="cs"/>
          <w:rtl/>
        </w:rPr>
        <w:t>"</w:t>
      </w:r>
      <w:r w:rsidRPr="003A7F16">
        <w:rPr>
          <w:rtl/>
        </w:rPr>
        <w:t>.</w:t>
      </w:r>
    </w:p>
  </w:endnote>
  <w:endnote w:id="2">
    <w:p w:rsidR="00E379E4" w:rsidRPr="003A7F16" w:rsidRDefault="00E379E4" w:rsidP="00E379E4">
      <w:pPr>
        <w:pStyle w:val="a5"/>
        <w:rPr>
          <w:rFonts w:hint="cs"/>
          <w:rtl/>
        </w:rPr>
      </w:pPr>
      <w:r>
        <w:rPr>
          <w:rtl/>
        </w:rPr>
        <w:tab/>
      </w:r>
      <w:r w:rsidRPr="00944A81">
        <w:rPr>
          <w:rtl/>
        </w:rPr>
        <w:endnoteRef/>
      </w:r>
      <w:r>
        <w:rPr>
          <w:rtl/>
        </w:rPr>
        <w:t>.</w:t>
      </w:r>
      <w:r>
        <w:rPr>
          <w:rtl/>
        </w:rPr>
        <w:tab/>
      </w:r>
      <w:r>
        <w:rPr>
          <w:rFonts w:hint="cs"/>
          <w:rtl/>
        </w:rPr>
        <w:t xml:space="preserve">ראה </w:t>
      </w:r>
      <w:r w:rsidRPr="003A7F16">
        <w:rPr>
          <w:rtl/>
        </w:rPr>
        <w:t>משנת חסידים מס' אלול פ"א, ג; פרי עץ חיים שער כד בתחלתו.</w:t>
      </w:r>
    </w:p>
  </w:endnote>
  <w:endnote w:id="3">
    <w:p w:rsidR="00E379E4" w:rsidRPr="00AC5794" w:rsidRDefault="00E379E4" w:rsidP="00E379E4">
      <w:pPr>
        <w:pStyle w:val="a5"/>
        <w:rPr>
          <w:rFonts w:hint="cs"/>
          <w:rtl/>
        </w:rPr>
      </w:pPr>
      <w:r>
        <w:rPr>
          <w:rtl/>
        </w:rPr>
        <w:tab/>
      </w:r>
      <w:r w:rsidRPr="00944A81">
        <w:rPr>
          <w:rtl/>
        </w:rPr>
        <w:endnoteRef/>
      </w:r>
      <w:r>
        <w:rPr>
          <w:rtl/>
        </w:rPr>
        <w:t>.</w:t>
      </w:r>
      <w:r>
        <w:rPr>
          <w:rtl/>
        </w:rPr>
        <w:tab/>
      </w:r>
      <w:r w:rsidRPr="00AC5794">
        <w:rPr>
          <w:rFonts w:hint="cs"/>
          <w:b/>
          <w:bCs/>
          <w:sz w:val="24"/>
          <w:szCs w:val="24"/>
          <w:rtl/>
        </w:rPr>
        <w:t>אלול</w:t>
      </w:r>
      <w:r w:rsidRPr="00AC5794">
        <w:rPr>
          <w:rFonts w:hint="cs"/>
          <w:rtl/>
        </w:rPr>
        <w:t xml:space="preserve"> </w:t>
      </w:r>
      <w:r w:rsidRPr="00AC5794">
        <w:rPr>
          <w:rFonts w:hint="cs"/>
          <w:b/>
          <w:bCs/>
          <w:sz w:val="24"/>
          <w:szCs w:val="24"/>
          <w:rtl/>
        </w:rPr>
        <w:t>אהבה</w:t>
      </w:r>
      <w:r w:rsidRPr="00AC5794">
        <w:rPr>
          <w:rFonts w:hint="cs"/>
          <w:rtl/>
        </w:rPr>
        <w:t xml:space="preserve"> בהכאה פרטית (</w:t>
      </w:r>
      <w:r w:rsidRPr="00AC5794">
        <w:rPr>
          <w:rFonts w:hint="cs"/>
          <w:b/>
          <w:bCs/>
          <w:sz w:val="24"/>
          <w:szCs w:val="24"/>
          <w:rtl/>
        </w:rPr>
        <w:t>א</w:t>
      </w:r>
      <w:r w:rsidRPr="00AC5794">
        <w:rPr>
          <w:rFonts w:hint="cs"/>
          <w:rtl/>
        </w:rPr>
        <w:t xml:space="preserve"> פעמים </w:t>
      </w:r>
      <w:r w:rsidRPr="00AC5794">
        <w:rPr>
          <w:rFonts w:hint="cs"/>
          <w:b/>
          <w:bCs/>
          <w:sz w:val="24"/>
          <w:szCs w:val="24"/>
          <w:rtl/>
        </w:rPr>
        <w:t>א</w:t>
      </w:r>
      <w:r w:rsidRPr="00AC5794">
        <w:rPr>
          <w:rFonts w:hint="cs"/>
          <w:rtl/>
        </w:rPr>
        <w:t xml:space="preserve">, </w:t>
      </w:r>
      <w:r w:rsidRPr="00AC5794">
        <w:rPr>
          <w:rFonts w:hint="cs"/>
          <w:b/>
          <w:bCs/>
          <w:sz w:val="24"/>
          <w:szCs w:val="24"/>
          <w:rtl/>
        </w:rPr>
        <w:t>ל</w:t>
      </w:r>
      <w:r w:rsidRPr="00AC5794">
        <w:rPr>
          <w:rFonts w:hint="cs"/>
          <w:rtl/>
        </w:rPr>
        <w:t xml:space="preserve"> פעמים </w:t>
      </w:r>
      <w:r w:rsidRPr="00AC5794">
        <w:rPr>
          <w:rFonts w:hint="cs"/>
          <w:b/>
          <w:bCs/>
          <w:sz w:val="24"/>
          <w:szCs w:val="24"/>
          <w:rtl/>
        </w:rPr>
        <w:t>ה</w:t>
      </w:r>
      <w:r w:rsidRPr="00AC5794">
        <w:rPr>
          <w:rFonts w:hint="cs"/>
          <w:rtl/>
        </w:rPr>
        <w:t xml:space="preserve">, </w:t>
      </w:r>
      <w:r w:rsidRPr="00AC5794">
        <w:rPr>
          <w:rFonts w:hint="cs"/>
          <w:b/>
          <w:bCs/>
          <w:sz w:val="24"/>
          <w:szCs w:val="24"/>
          <w:rtl/>
        </w:rPr>
        <w:t>ו</w:t>
      </w:r>
      <w:r w:rsidRPr="00AC5794">
        <w:rPr>
          <w:rFonts w:hint="cs"/>
          <w:rtl/>
        </w:rPr>
        <w:t xml:space="preserve"> פעמים </w:t>
      </w:r>
      <w:r w:rsidRPr="00AC5794">
        <w:rPr>
          <w:rFonts w:hint="cs"/>
          <w:b/>
          <w:bCs/>
          <w:sz w:val="24"/>
          <w:szCs w:val="24"/>
          <w:rtl/>
        </w:rPr>
        <w:t>ב</w:t>
      </w:r>
      <w:r w:rsidRPr="00AC5794">
        <w:rPr>
          <w:rFonts w:hint="cs"/>
          <w:rtl/>
        </w:rPr>
        <w:t xml:space="preserve">, </w:t>
      </w:r>
      <w:r w:rsidRPr="00AC5794">
        <w:rPr>
          <w:rFonts w:hint="cs"/>
          <w:b/>
          <w:bCs/>
          <w:sz w:val="24"/>
          <w:szCs w:val="24"/>
          <w:rtl/>
        </w:rPr>
        <w:t>ל</w:t>
      </w:r>
      <w:r w:rsidRPr="00AC5794">
        <w:rPr>
          <w:rFonts w:hint="cs"/>
          <w:rtl/>
        </w:rPr>
        <w:t xml:space="preserve"> פעמים </w:t>
      </w:r>
      <w:r w:rsidRPr="00AC5794">
        <w:rPr>
          <w:rFonts w:hint="cs"/>
          <w:b/>
          <w:bCs/>
          <w:sz w:val="24"/>
          <w:szCs w:val="24"/>
          <w:rtl/>
        </w:rPr>
        <w:t>ה</w:t>
      </w:r>
      <w:r w:rsidRPr="00AC5794">
        <w:rPr>
          <w:rFonts w:hint="cs"/>
          <w:rtl/>
        </w:rPr>
        <w:t>) עולה 313, מספר ההשראה ה-</w:t>
      </w:r>
      <w:r w:rsidRPr="00AC5794">
        <w:rPr>
          <w:rFonts w:hint="cs"/>
          <w:b/>
          <w:bCs/>
          <w:sz w:val="24"/>
          <w:szCs w:val="24"/>
          <w:rtl/>
        </w:rPr>
        <w:t>אהבה</w:t>
      </w:r>
      <w:r w:rsidRPr="00AC5794">
        <w:rPr>
          <w:rFonts w:hint="cs"/>
          <w:rtl/>
        </w:rPr>
        <w:t>.</w:t>
      </w:r>
    </w:p>
  </w:endnote>
  <w:endnote w:id="4">
    <w:p w:rsidR="00E379E4" w:rsidRDefault="00E379E4" w:rsidP="00E379E4">
      <w:pPr>
        <w:pStyle w:val="a5"/>
        <w:rPr>
          <w:rFonts w:hint="cs"/>
        </w:rPr>
      </w:pPr>
      <w:r>
        <w:rPr>
          <w:rtl/>
        </w:rPr>
        <w:tab/>
      </w:r>
      <w:r w:rsidRPr="00944A81">
        <w:rPr>
          <w:rtl/>
        </w:rPr>
        <w:endnoteRef/>
      </w:r>
      <w:r>
        <w:rPr>
          <w:rtl/>
        </w:rPr>
        <w:t>.</w:t>
      </w:r>
      <w:r>
        <w:rPr>
          <w:rtl/>
        </w:rPr>
        <w:tab/>
      </w:r>
      <w:r>
        <w:rPr>
          <w:rFonts w:hint="cs"/>
          <w:rtl/>
        </w:rPr>
        <w:t>תהלים יח, ב. וראה בשער ב בתורה "בן שמונה עשרה לחופה".</w:t>
      </w:r>
    </w:p>
  </w:endnote>
  <w:endnote w:id="5">
    <w:p w:rsidR="00E379E4" w:rsidRDefault="00E379E4" w:rsidP="00E379E4">
      <w:pPr>
        <w:pStyle w:val="a5"/>
        <w:rPr>
          <w:rFonts w:hint="cs"/>
          <w:rtl/>
        </w:rPr>
      </w:pPr>
      <w:r>
        <w:rPr>
          <w:rtl/>
        </w:rPr>
        <w:tab/>
      </w:r>
      <w:r w:rsidRPr="00944A81">
        <w:rPr>
          <w:rtl/>
        </w:rPr>
        <w:endnoteRef/>
      </w:r>
      <w:r>
        <w:rPr>
          <w:rtl/>
        </w:rPr>
        <w:t>.</w:t>
      </w:r>
      <w:r>
        <w:rPr>
          <w:rtl/>
        </w:rPr>
        <w:tab/>
      </w:r>
      <w:r>
        <w:rPr>
          <w:rFonts w:hint="cs"/>
          <w:rtl/>
        </w:rPr>
        <w:t>אבודרהם סדר תפלת ר"ה. פרי עץ חיים שער ראש השנה פ"א. שער הפסוקים שה"ש ו, ג.</w:t>
      </w:r>
    </w:p>
  </w:endnote>
  <w:endnote w:id="6">
    <w:p w:rsidR="00E379E4" w:rsidRDefault="00E379E4" w:rsidP="00E379E4">
      <w:pPr>
        <w:pStyle w:val="a5"/>
        <w:rPr>
          <w:rFonts w:hint="cs"/>
          <w:rtl/>
        </w:rPr>
      </w:pPr>
      <w:r>
        <w:rPr>
          <w:rtl/>
        </w:rPr>
        <w:tab/>
      </w:r>
      <w:r w:rsidRPr="00944A81">
        <w:rPr>
          <w:rtl/>
        </w:rPr>
        <w:endnoteRef/>
      </w:r>
      <w:r>
        <w:rPr>
          <w:rtl/>
        </w:rPr>
        <w:t>.</w:t>
      </w:r>
      <w:r>
        <w:rPr>
          <w:rtl/>
        </w:rPr>
        <w:tab/>
      </w:r>
      <w:r>
        <w:rPr>
          <w:rFonts w:hint="cs"/>
          <w:rtl/>
        </w:rPr>
        <w:t>שיר השירים ו, ג.</w:t>
      </w:r>
    </w:p>
  </w:endnote>
  <w:endnote w:id="7">
    <w:p w:rsidR="00E379E4" w:rsidRDefault="00E379E4" w:rsidP="00E379E4">
      <w:pPr>
        <w:pStyle w:val="a5"/>
        <w:rPr>
          <w:rFonts w:hint="cs"/>
          <w:rtl/>
        </w:rPr>
      </w:pPr>
      <w:r>
        <w:rPr>
          <w:rtl/>
        </w:rPr>
        <w:tab/>
      </w:r>
      <w:r w:rsidRPr="00944A81">
        <w:rPr>
          <w:rtl/>
        </w:rPr>
        <w:endnoteRef/>
      </w:r>
      <w:r>
        <w:rPr>
          <w:rtl/>
        </w:rPr>
        <w:t>.</w:t>
      </w:r>
      <w:r>
        <w:rPr>
          <w:rtl/>
        </w:rPr>
        <w:tab/>
      </w:r>
      <w:r>
        <w:rPr>
          <w:rFonts w:hint="cs"/>
          <w:rtl/>
        </w:rPr>
        <w:t>וראה באריכות בספר אני לדודי ודודי לי במאמר "אבינו, מלכנו, דודנו".</w:t>
      </w:r>
    </w:p>
  </w:endnote>
  <w:endnote w:id="8">
    <w:p w:rsidR="00E379E4" w:rsidRDefault="00E379E4" w:rsidP="00E379E4">
      <w:pPr>
        <w:pStyle w:val="a5"/>
        <w:rPr>
          <w:rFonts w:hint="cs"/>
        </w:rPr>
      </w:pPr>
      <w:r>
        <w:rPr>
          <w:rtl/>
        </w:rPr>
        <w:tab/>
      </w:r>
      <w:r w:rsidRPr="00944A81">
        <w:rPr>
          <w:rtl/>
        </w:rPr>
        <w:endnoteRef/>
      </w:r>
      <w:r>
        <w:rPr>
          <w:rtl/>
        </w:rPr>
        <w:t>.</w:t>
      </w:r>
      <w:r>
        <w:rPr>
          <w:rtl/>
        </w:rPr>
        <w:tab/>
      </w:r>
      <w:r>
        <w:rPr>
          <w:rFonts w:hint="cs"/>
          <w:rtl/>
        </w:rPr>
        <w:t>וראה באריכות בספר אני לדודי ודודי לי במאמר "חידוש הישנות".</w:t>
      </w:r>
    </w:p>
  </w:endnote>
  <w:endnote w:id="9">
    <w:p w:rsidR="00E379E4" w:rsidRDefault="00E379E4" w:rsidP="00E379E4">
      <w:pPr>
        <w:pStyle w:val="a5"/>
        <w:rPr>
          <w:rFonts w:hint="cs"/>
          <w:rtl/>
        </w:rPr>
      </w:pPr>
      <w:r>
        <w:rPr>
          <w:rtl/>
        </w:rPr>
        <w:tab/>
      </w:r>
      <w:r w:rsidRPr="00944A81">
        <w:rPr>
          <w:rtl/>
        </w:rPr>
        <w:endnoteRef/>
      </w:r>
      <w:r>
        <w:rPr>
          <w:rtl/>
        </w:rPr>
        <w:t>.</w:t>
      </w:r>
      <w:r>
        <w:rPr>
          <w:rtl/>
        </w:rPr>
        <w:tab/>
      </w:r>
      <w:r>
        <w:rPr>
          <w:rFonts w:hint="cs"/>
          <w:rtl/>
        </w:rPr>
        <w:t>החל מלקו"ש ח"א עמ' 395 ואילך. ביאור בדברים ראה גם בספר הטבע היהודי מאמר "התפלה המתמדת" פ"א.</w:t>
      </w:r>
    </w:p>
  </w:endnote>
  <w:endnote w:id="10">
    <w:p w:rsidR="00E379E4" w:rsidRDefault="00E379E4" w:rsidP="00E379E4">
      <w:pPr>
        <w:pStyle w:val="a5"/>
        <w:rPr>
          <w:rFonts w:hint="cs"/>
          <w:rtl/>
        </w:rPr>
      </w:pPr>
      <w:r>
        <w:rPr>
          <w:rtl/>
        </w:rPr>
        <w:tab/>
      </w:r>
      <w:r w:rsidRPr="00944A81">
        <w:rPr>
          <w:rtl/>
        </w:rPr>
        <w:endnoteRef/>
      </w:r>
      <w:r>
        <w:rPr>
          <w:rtl/>
        </w:rPr>
        <w:t>.</w:t>
      </w:r>
      <w:r>
        <w:rPr>
          <w:rtl/>
        </w:rPr>
        <w:tab/>
      </w:r>
      <w:r>
        <w:rPr>
          <w:rFonts w:hint="cs"/>
          <w:rtl/>
        </w:rPr>
        <w:t>אסתר ט, כב. ראה ערוגת הבשם בשם ספר אמרכל.</w:t>
      </w:r>
    </w:p>
  </w:endnote>
  <w:endnote w:id="11">
    <w:p w:rsidR="00E379E4" w:rsidRDefault="00E379E4" w:rsidP="00E379E4">
      <w:pPr>
        <w:pStyle w:val="a5"/>
        <w:rPr>
          <w:rFonts w:hint="cs"/>
        </w:rPr>
      </w:pPr>
      <w:r>
        <w:rPr>
          <w:rtl/>
        </w:rPr>
        <w:tab/>
      </w:r>
      <w:r w:rsidRPr="00944A81">
        <w:rPr>
          <w:rtl/>
        </w:rPr>
        <w:endnoteRef/>
      </w:r>
      <w:r>
        <w:rPr>
          <w:rtl/>
        </w:rPr>
        <w:t>.</w:t>
      </w:r>
      <w:r>
        <w:rPr>
          <w:rtl/>
        </w:rPr>
        <w:tab/>
      </w:r>
      <w:r>
        <w:rPr>
          <w:rFonts w:hint="cs"/>
          <w:rtl/>
        </w:rPr>
        <w:t>שמות כא, יג. ראה פע"ח שער ר"ה פ"א. שער הפסוקים שמות כא, יג.</w:t>
      </w:r>
    </w:p>
  </w:endnote>
  <w:endnote w:id="12">
    <w:p w:rsidR="00E379E4" w:rsidRDefault="00E379E4" w:rsidP="00E379E4">
      <w:pPr>
        <w:pStyle w:val="a5"/>
        <w:rPr>
          <w:rFonts w:hint="cs"/>
          <w:rtl/>
        </w:rPr>
      </w:pPr>
      <w:r>
        <w:rPr>
          <w:rtl/>
        </w:rPr>
        <w:tab/>
      </w:r>
      <w:r w:rsidRPr="00944A81">
        <w:rPr>
          <w:rtl/>
        </w:rPr>
        <w:endnoteRef/>
      </w:r>
      <w:r>
        <w:rPr>
          <w:rtl/>
        </w:rPr>
        <w:t>.</w:t>
      </w:r>
      <w:r>
        <w:rPr>
          <w:rtl/>
        </w:rPr>
        <w:tab/>
      </w:r>
      <w:r>
        <w:rPr>
          <w:rFonts w:hint="cs"/>
          <w:rtl/>
        </w:rPr>
        <w:t>דברים ל, ו. ראה בעל הטורים עה"פ. אבודרהם סדר תפלת ר"ה.</w:t>
      </w:r>
    </w:p>
  </w:endnote>
  <w:endnote w:id="13">
    <w:p w:rsidR="00E379E4" w:rsidRDefault="00E379E4" w:rsidP="00E379E4">
      <w:pPr>
        <w:pStyle w:val="a5"/>
        <w:rPr>
          <w:rFonts w:hint="cs"/>
        </w:rPr>
      </w:pPr>
      <w:r>
        <w:rPr>
          <w:rtl/>
        </w:rPr>
        <w:tab/>
      </w:r>
      <w:r w:rsidRPr="00944A81">
        <w:rPr>
          <w:rtl/>
        </w:rPr>
        <w:endnoteRef/>
      </w:r>
      <w:r>
        <w:rPr>
          <w:rtl/>
        </w:rPr>
        <w:t>.</w:t>
      </w:r>
      <w:r>
        <w:rPr>
          <w:rtl/>
        </w:rPr>
        <w:tab/>
      </w:r>
      <w:r>
        <w:rPr>
          <w:rFonts w:hint="cs"/>
          <w:rtl/>
        </w:rPr>
        <w:t>שמות טו, א. ראה פע"ח שער ר"ה פ"א.</w:t>
      </w:r>
    </w:p>
  </w:endnote>
  <w:endnote w:id="14">
    <w:p w:rsidR="00E379E4" w:rsidRDefault="00E379E4" w:rsidP="00E379E4">
      <w:pPr>
        <w:pStyle w:val="a5"/>
        <w:rPr>
          <w:rFonts w:hint="cs"/>
        </w:rPr>
      </w:pPr>
      <w:r>
        <w:rPr>
          <w:rtl/>
        </w:rPr>
        <w:tab/>
      </w:r>
      <w:r w:rsidRPr="00944A81">
        <w:rPr>
          <w:rtl/>
        </w:rPr>
        <w:endnoteRef/>
      </w:r>
      <w:r>
        <w:rPr>
          <w:rtl/>
        </w:rPr>
        <w:t>.</w:t>
      </w:r>
      <w:r>
        <w:rPr>
          <w:rtl/>
        </w:rPr>
        <w:tab/>
      </w:r>
      <w:r>
        <w:rPr>
          <w:rFonts w:hint="cs"/>
          <w:rtl/>
        </w:rPr>
        <w:t>כמבואר באורך בספר הטבע היהודי שם, עמ' סז-ע.</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7E5" w:rsidRDefault="00F317E5" w:rsidP="00E379E4">
      <w:pPr>
        <w:spacing w:after="0" w:line="240" w:lineRule="auto"/>
      </w:pPr>
      <w:r>
        <w:separator/>
      </w:r>
    </w:p>
  </w:footnote>
  <w:footnote w:type="continuationSeparator" w:id="0">
    <w:p w:rsidR="00F317E5" w:rsidRDefault="00F317E5" w:rsidP="00E37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B0A04"/>
    <w:multiLevelType w:val="hybridMultilevel"/>
    <w:tmpl w:val="B790B42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5D3"/>
    <w:rsid w:val="00061E65"/>
    <w:rsid w:val="00AC2310"/>
    <w:rsid w:val="00C065D3"/>
    <w:rsid w:val="00E379E4"/>
    <w:rsid w:val="00F317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379E4"/>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E379E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379E4"/>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E379E4"/>
    <w:rPr>
      <w:noProof/>
      <w:position w:val="-4"/>
      <w:szCs w:val="26"/>
      <w:vertAlign w:val="superscript"/>
    </w:rPr>
  </w:style>
  <w:style w:type="character" w:customStyle="1" w:styleId="a4">
    <w:name w:val="מרים"/>
    <w:basedOn w:val="a0"/>
    <w:rsid w:val="00E379E4"/>
    <w:rPr>
      <w:rFonts w:cs="MiriamMFO"/>
      <w:w w:val="100"/>
      <w:sz w:val="21"/>
      <w:szCs w:val="23"/>
    </w:rPr>
  </w:style>
  <w:style w:type="paragraph" w:styleId="a5">
    <w:name w:val="endnote text"/>
    <w:aliases w:val="Endnote Text"/>
    <w:basedOn w:val="a"/>
    <w:link w:val="a6"/>
    <w:semiHidden/>
    <w:rsid w:val="00E379E4"/>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E379E4"/>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E379E4"/>
    <w:rPr>
      <w:noProof/>
      <w:position w:val="-4"/>
      <w:szCs w:val="27"/>
      <w:vertAlign w:val="superscript"/>
    </w:rPr>
  </w:style>
  <w:style w:type="paragraph" w:customStyle="1" w:styleId="a8">
    <w:name w:val="פתיח תו"/>
    <w:basedOn w:val="a"/>
    <w:link w:val="a9"/>
    <w:rsid w:val="00E379E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E379E4"/>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E379E4"/>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E379E4"/>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E379E4"/>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E379E4"/>
    <w:rPr>
      <w:noProof/>
      <w:position w:val="-4"/>
      <w:szCs w:val="26"/>
      <w:vertAlign w:val="superscript"/>
    </w:rPr>
  </w:style>
  <w:style w:type="character" w:customStyle="1" w:styleId="a4">
    <w:name w:val="מרים"/>
    <w:basedOn w:val="a0"/>
    <w:rsid w:val="00E379E4"/>
    <w:rPr>
      <w:rFonts w:cs="MiriamMFO"/>
      <w:w w:val="100"/>
      <w:sz w:val="21"/>
      <w:szCs w:val="23"/>
    </w:rPr>
  </w:style>
  <w:style w:type="paragraph" w:styleId="a5">
    <w:name w:val="endnote text"/>
    <w:aliases w:val="Endnote Text"/>
    <w:basedOn w:val="a"/>
    <w:link w:val="a6"/>
    <w:semiHidden/>
    <w:rsid w:val="00E379E4"/>
    <w:pPr>
      <w:tabs>
        <w:tab w:val="right" w:pos="266"/>
        <w:tab w:val="left" w:pos="340"/>
      </w:tabs>
      <w:spacing w:after="20" w:line="260" w:lineRule="exact"/>
      <w:ind w:left="340" w:hanging="340"/>
    </w:pPr>
    <w:rPr>
      <w:sz w:val="20"/>
      <w:szCs w:val="23"/>
    </w:rPr>
  </w:style>
  <w:style w:type="character" w:customStyle="1" w:styleId="a6">
    <w:name w:val="טקסט הערת סיום תו"/>
    <w:basedOn w:val="a0"/>
    <w:link w:val="a5"/>
    <w:semiHidden/>
    <w:rsid w:val="00E379E4"/>
    <w:rPr>
      <w:rFonts w:ascii="Times New Roman" w:eastAsia="Times New Roman" w:hAnsi="Times New Roman" w:cs="oprFrank"/>
      <w:sz w:val="20"/>
      <w:szCs w:val="23"/>
      <w:lang w:eastAsia="he-IL"/>
    </w:rPr>
  </w:style>
  <w:style w:type="character" w:styleId="a7">
    <w:name w:val="endnote reference"/>
    <w:aliases w:val="Endnote Reference"/>
    <w:basedOn w:val="a3"/>
    <w:semiHidden/>
    <w:rsid w:val="00E379E4"/>
    <w:rPr>
      <w:noProof/>
      <w:position w:val="-4"/>
      <w:szCs w:val="27"/>
      <w:vertAlign w:val="superscript"/>
    </w:rPr>
  </w:style>
  <w:style w:type="paragraph" w:customStyle="1" w:styleId="a8">
    <w:name w:val="פתיח תו"/>
    <w:basedOn w:val="a"/>
    <w:link w:val="a9"/>
    <w:rsid w:val="00E379E4"/>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E379E4"/>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262</Words>
  <Characters>1311</Characters>
  <Application>Microsoft Office Word</Application>
  <DocSecurity>0</DocSecurity>
  <Lines>10</Lines>
  <Paragraphs>3</Paragraphs>
  <ScaleCrop>false</ScaleCrop>
  <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2017-08-16T09:25:00Z</dcterms:created>
  <dcterms:modified xsi:type="dcterms:W3CDTF">2017-08-16T09:26:00Z</dcterms:modified>
</cp:coreProperties>
</file>