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5210" w:rsidRDefault="00B95210" w:rsidP="00B95210">
      <w:pPr>
        <w:pStyle w:val="2"/>
        <w:rPr>
          <w:rFonts w:hint="cs"/>
          <w:rtl/>
        </w:rPr>
      </w:pPr>
      <w:bookmarkStart w:id="0" w:name="_Toc302128587"/>
      <w:bookmarkStart w:id="1" w:name="_Ref302128826"/>
      <w:r>
        <w:rPr>
          <w:rFonts w:hint="cs"/>
          <w:rtl/>
        </w:rPr>
        <w:t xml:space="preserve">"איש לרעהו ומתנות לאביונים" </w:t>
      </w:r>
      <w:r>
        <w:rPr>
          <w:rtl/>
        </w:rPr>
        <w:t>–</w:t>
      </w:r>
      <w:r>
        <w:rPr>
          <w:rFonts w:hint="cs"/>
          <w:rtl/>
        </w:rPr>
        <w:t xml:space="preserve"> זרימת הנתינה</w:t>
      </w:r>
      <w:bookmarkEnd w:id="0"/>
      <w:bookmarkEnd w:id="1"/>
    </w:p>
    <w:p w:rsidR="00B95210" w:rsidRPr="002E2CC9" w:rsidRDefault="00B95210" w:rsidP="00B95210">
      <w:pPr>
        <w:keepNext/>
        <w:framePr w:dropCap="drop" w:lines="2" w:hSpace="57" w:wrap="around" w:vAnchor="text" w:hAnchor="text" w:xAlign="right"/>
        <w:spacing w:after="0" w:line="760" w:lineRule="exact"/>
        <w:textAlignment w:val="baseline"/>
        <w:rPr>
          <w:rStyle w:val="a7"/>
          <w:rtl/>
        </w:rPr>
      </w:pPr>
      <w:r w:rsidRPr="002E2CC9">
        <w:rPr>
          <w:rStyle w:val="a7"/>
          <w:rFonts w:hint="cs"/>
          <w:rtl/>
        </w:rPr>
        <w:t>א</w:t>
      </w:r>
    </w:p>
    <w:p w:rsidR="00B95210" w:rsidRDefault="00B95210" w:rsidP="00B95210">
      <w:pPr>
        <w:rPr>
          <w:rFonts w:hint="cs"/>
          <w:rtl/>
        </w:rPr>
      </w:pPr>
      <w:r>
        <w:rPr>
          <w:rFonts w:hint="cs"/>
          <w:rtl/>
        </w:rPr>
        <w:t xml:space="preserve">רבע מצוות הפורים </w:t>
      </w:r>
      <w:r>
        <w:rPr>
          <w:rtl/>
        </w:rPr>
        <w:t>–</w:t>
      </w:r>
      <w:r>
        <w:rPr>
          <w:rFonts w:hint="cs"/>
          <w:rtl/>
        </w:rPr>
        <w:t xml:space="preserve"> מקרא מגלה, משתה ושמחה, משלוח מנות, מתנות לאביונים </w:t>
      </w:r>
      <w:r>
        <w:rPr>
          <w:rtl/>
        </w:rPr>
        <w:t>–</w:t>
      </w:r>
      <w:r>
        <w:rPr>
          <w:rFonts w:hint="cs"/>
          <w:rtl/>
        </w:rPr>
        <w:t xml:space="preserve"> מכוונות כסדרן כנגד אותיות שם הוי' ב"ה</w:t>
      </w:r>
      <w:r w:rsidRPr="008636EE">
        <w:rPr>
          <w:rStyle w:val="a3"/>
          <w:rtl/>
        </w:rPr>
        <w:endnoteReference w:id="1"/>
      </w:r>
      <w:r>
        <w:rPr>
          <w:rFonts w:hint="cs"/>
          <w:rtl/>
        </w:rPr>
        <w:t xml:space="preserve">. אם כן, המצוות המופיעות בתוך הרמז של </w:t>
      </w:r>
      <w:r w:rsidRPr="0074354D">
        <w:rPr>
          <w:rFonts w:hint="cs"/>
          <w:b/>
          <w:bCs/>
          <w:sz w:val="28"/>
          <w:szCs w:val="28"/>
          <w:rtl/>
        </w:rPr>
        <w:t>אלול</w:t>
      </w:r>
      <w:r>
        <w:rPr>
          <w:rFonts w:hint="cs"/>
          <w:rtl/>
        </w:rPr>
        <w:t xml:space="preserve">, "[ומשלוח מנות] </w:t>
      </w:r>
      <w:r w:rsidRPr="0074354D">
        <w:rPr>
          <w:rFonts w:hint="cs"/>
          <w:b/>
          <w:bCs/>
          <w:sz w:val="28"/>
          <w:szCs w:val="28"/>
          <w:rtl/>
        </w:rPr>
        <w:t>א</w:t>
      </w:r>
      <w:r>
        <w:rPr>
          <w:rFonts w:hint="cs"/>
          <w:rtl/>
        </w:rPr>
        <w:t xml:space="preserve">יש </w:t>
      </w:r>
      <w:r w:rsidRPr="0074354D">
        <w:rPr>
          <w:rFonts w:hint="cs"/>
          <w:b/>
          <w:bCs/>
          <w:sz w:val="28"/>
          <w:szCs w:val="28"/>
          <w:rtl/>
        </w:rPr>
        <w:t>ל</w:t>
      </w:r>
      <w:r>
        <w:rPr>
          <w:rFonts w:hint="cs"/>
          <w:rtl/>
        </w:rPr>
        <w:t xml:space="preserve">רעהו </w:t>
      </w:r>
      <w:r w:rsidRPr="0074354D">
        <w:rPr>
          <w:rFonts w:hint="cs"/>
          <w:b/>
          <w:bCs/>
          <w:sz w:val="28"/>
          <w:szCs w:val="28"/>
          <w:rtl/>
        </w:rPr>
        <w:t>ו</w:t>
      </w:r>
      <w:r>
        <w:rPr>
          <w:rFonts w:hint="cs"/>
          <w:rtl/>
        </w:rPr>
        <w:t xml:space="preserve">מתנות </w:t>
      </w:r>
      <w:r w:rsidRPr="0074354D">
        <w:rPr>
          <w:rFonts w:hint="cs"/>
          <w:b/>
          <w:bCs/>
          <w:sz w:val="28"/>
          <w:szCs w:val="28"/>
          <w:rtl/>
        </w:rPr>
        <w:t>ל</w:t>
      </w:r>
      <w:r>
        <w:rPr>
          <w:rFonts w:hint="cs"/>
          <w:rtl/>
        </w:rPr>
        <w:t>אביונים"</w:t>
      </w:r>
      <w:r w:rsidRPr="008636EE">
        <w:rPr>
          <w:rStyle w:val="a3"/>
          <w:rtl/>
        </w:rPr>
        <w:endnoteReference w:id="2"/>
      </w:r>
      <w:r>
        <w:rPr>
          <w:rFonts w:hint="cs"/>
          <w:rtl/>
        </w:rPr>
        <w:t xml:space="preserve">, מכוונות כנגד אותיות </w:t>
      </w:r>
      <w:r w:rsidRPr="0074354D">
        <w:rPr>
          <w:rFonts w:hint="cs"/>
          <w:b/>
          <w:bCs/>
          <w:sz w:val="28"/>
          <w:szCs w:val="28"/>
          <w:rtl/>
        </w:rPr>
        <w:t>וה</w:t>
      </w:r>
      <w:r>
        <w:rPr>
          <w:rFonts w:hint="cs"/>
          <w:rtl/>
        </w:rPr>
        <w:t xml:space="preserve"> בשם. והנה, אותיות </w:t>
      </w:r>
      <w:r w:rsidRPr="00BE0796">
        <w:rPr>
          <w:rFonts w:hint="cs"/>
          <w:b/>
          <w:bCs/>
          <w:sz w:val="28"/>
          <w:szCs w:val="28"/>
          <w:rtl/>
        </w:rPr>
        <w:t>וה</w:t>
      </w:r>
      <w:r>
        <w:rPr>
          <w:rFonts w:hint="cs"/>
          <w:rtl/>
        </w:rPr>
        <w:t xml:space="preserve"> מכוונות בעצמן כנגד האיש-החתן והאשה-הכלה, ללמד כי אכן יש זיקה מיוחדת בין עבודת "איש לרעהו ומתנות לאביונים" והקשר שבין איש ואשתו. </w:t>
      </w:r>
    </w:p>
    <w:p w:rsidR="00B95210" w:rsidRDefault="00B95210" w:rsidP="00B95210">
      <w:pPr>
        <w:rPr>
          <w:rFonts w:hint="cs"/>
          <w:rtl/>
        </w:rPr>
      </w:pPr>
      <w:r>
        <w:rPr>
          <w:rFonts w:hint="cs"/>
          <w:rtl/>
        </w:rPr>
        <w:t>"עולם חסד יבנה"</w:t>
      </w:r>
      <w:r w:rsidRPr="008636EE">
        <w:rPr>
          <w:rStyle w:val="a3"/>
          <w:rtl/>
        </w:rPr>
        <w:endnoteReference w:id="3"/>
      </w:r>
      <w:r>
        <w:rPr>
          <w:rFonts w:hint="cs"/>
          <w:rtl/>
        </w:rPr>
        <w:t xml:space="preserve"> וכך גם הבית היהודי מושתת על זרימה של חסד ונתינה בין כל בני הבית. בפרטות, ב"איש לרעהו ומתנות לאביונים" כלולים שני סוגים שונים של נתינה שצריכים להתקיים בבית היהודי: </w:t>
      </w:r>
    </w:p>
    <w:p w:rsidR="00B95210" w:rsidRDefault="00B95210" w:rsidP="00B95210">
      <w:pPr>
        <w:rPr>
          <w:rFonts w:hint="cs"/>
          <w:rtl/>
        </w:rPr>
      </w:pPr>
      <w:r>
        <w:rPr>
          <w:rFonts w:hint="cs"/>
          <w:rtl/>
        </w:rPr>
        <w:t>"משלוח מנות איש לרעהו" הוא נתינה בין רעים "שוים בקומתן", כשאין תחושה של משפיע ומקבל (כאשר השויון רמוז גם בכך ש"</w:t>
      </w:r>
      <w:r w:rsidRPr="00773782">
        <w:rPr>
          <w:rFonts w:hint="cs"/>
          <w:b/>
          <w:bCs/>
          <w:sz w:val="28"/>
          <w:szCs w:val="28"/>
          <w:rtl/>
        </w:rPr>
        <w:t>איש</w:t>
      </w:r>
      <w:r>
        <w:rPr>
          <w:rFonts w:hint="cs"/>
          <w:rtl/>
        </w:rPr>
        <w:t>" עולה בגימטריא "</w:t>
      </w:r>
      <w:r w:rsidRPr="00773782">
        <w:rPr>
          <w:rFonts w:hint="cs"/>
          <w:b/>
          <w:bCs/>
          <w:sz w:val="28"/>
          <w:szCs w:val="28"/>
          <w:rtl/>
        </w:rPr>
        <w:t>לרעהו</w:t>
      </w:r>
      <w:r>
        <w:rPr>
          <w:rFonts w:hint="cs"/>
          <w:rtl/>
        </w:rPr>
        <w:t>"). ידוע בשם היהודי הקדוש כי שני יודין-יהודים הנכתבים זה לצד זה, בשוה וללא כל התנשאות, נקראים כשם ה', ואילו שני יודין-יהודים הנכתבים זה מעל זה, כאשר אחד חש התנשאות על חברו, הרי הם מסמלים 'סוף פסוק'. כך כל נתינה של חיבה בין בני זוג נעשית מתוך תחושה של "שוים בקומתן", שני "רעים אהובים"</w:t>
      </w:r>
      <w:r w:rsidRPr="008636EE">
        <w:rPr>
          <w:rStyle w:val="a3"/>
          <w:rtl/>
        </w:rPr>
        <w:endnoteReference w:id="4"/>
      </w:r>
      <w:r>
        <w:rPr>
          <w:rFonts w:hint="cs"/>
          <w:rtl/>
        </w:rPr>
        <w:t xml:space="preserve"> שנהנים להעניק "איש לרעהו" במחזוריות של טוב וחסד.</w:t>
      </w:r>
    </w:p>
    <w:p w:rsidR="00B95210" w:rsidRDefault="00B95210" w:rsidP="00B95210">
      <w:pPr>
        <w:rPr>
          <w:rFonts w:hint="cs"/>
          <w:rtl/>
        </w:rPr>
      </w:pPr>
      <w:r>
        <w:rPr>
          <w:rFonts w:hint="cs"/>
          <w:rtl/>
        </w:rPr>
        <w:t>"ומתנות לאביונים" היינו הענקה בה יש באופן ברור משפיע ומקבל, עשיר המעניק משלו לעני ואביון "התאב לכל דבר"</w:t>
      </w:r>
      <w:r w:rsidRPr="008636EE">
        <w:rPr>
          <w:rStyle w:val="a3"/>
          <w:rtl/>
        </w:rPr>
        <w:endnoteReference w:id="5"/>
      </w:r>
      <w:r>
        <w:rPr>
          <w:rFonts w:hint="cs"/>
          <w:rtl/>
        </w:rPr>
        <w:t>. גם בין איש ואשה לא תמיד הנתינה היא רק שעשוע הדדי, שהרי "לא יחדל אביון מקרב הארץ"</w:t>
      </w:r>
      <w:r w:rsidRPr="008636EE">
        <w:rPr>
          <w:rStyle w:val="a3"/>
          <w:rtl/>
        </w:rPr>
        <w:endnoteReference w:id="6"/>
      </w:r>
      <w:r>
        <w:rPr>
          <w:rFonts w:hint="cs"/>
          <w:rtl/>
        </w:rPr>
        <w:t xml:space="preserve">, ופעמים שאחד מבני הזוג זקוק באמת לטובתו והשפעתו של השני. אז יש באופן מובהק אביון הנזקק לקבל מהמשפיע. כמובן, במערכת </w:t>
      </w:r>
      <w:r>
        <w:rPr>
          <w:rFonts w:hint="cs"/>
          <w:rtl/>
        </w:rPr>
        <w:lastRenderedPageBreak/>
        <w:t xml:space="preserve">יחסים מתוקנת לא מתחילים מכך שאחד מבני הזוג חש כי הוא המשפיע וזולתו האביון, אלא להיפך </w:t>
      </w:r>
      <w:r>
        <w:rPr>
          <w:rtl/>
        </w:rPr>
        <w:t>–</w:t>
      </w:r>
      <w:r>
        <w:rPr>
          <w:rFonts w:hint="cs"/>
          <w:rtl/>
        </w:rPr>
        <w:t xml:space="preserve"> על כל אחד לחוש אביון ביחס לשני ותלוי בטובותיו (שהרי מצד עצמי 'לא מגיע לי כלום'</w:t>
      </w:r>
      <w:r w:rsidRPr="008636EE">
        <w:rPr>
          <w:rStyle w:val="a3"/>
          <w:rtl/>
        </w:rPr>
        <w:endnoteReference w:id="7"/>
      </w:r>
      <w:r>
        <w:rPr>
          <w:rFonts w:hint="cs"/>
          <w:rtl/>
        </w:rPr>
        <w:t>), ועל השני להעתר מיד לבקשותיו של הנזקק באותו רגע ולדאוג למלא את "די מחסורו אשר יחסר לו"</w:t>
      </w:r>
      <w:r w:rsidRPr="008636EE">
        <w:rPr>
          <w:rStyle w:val="a3"/>
          <w:rtl/>
        </w:rPr>
        <w:endnoteReference w:id="8"/>
      </w:r>
      <w:r>
        <w:rPr>
          <w:rFonts w:hint="cs"/>
          <w:rtl/>
        </w:rPr>
        <w:t xml:space="preserve"> (כאשר חז"ל דרשו כי חלק מהמחסור הוא עצם הצורך בבן זוג </w:t>
      </w:r>
      <w:r>
        <w:rPr>
          <w:rtl/>
        </w:rPr>
        <w:t>–</w:t>
      </w:r>
      <w:r>
        <w:rPr>
          <w:rFonts w:hint="cs"/>
          <w:rtl/>
        </w:rPr>
        <w:t xml:space="preserve"> "'לו' זו אשה"</w:t>
      </w:r>
      <w:r w:rsidRPr="008636EE">
        <w:rPr>
          <w:rStyle w:val="a3"/>
          <w:rtl/>
        </w:rPr>
        <w:endnoteReference w:id="9"/>
      </w:r>
      <w:r>
        <w:rPr>
          <w:rFonts w:hint="cs"/>
          <w:rtl/>
        </w:rPr>
        <w:t>).</w:t>
      </w:r>
    </w:p>
    <w:p w:rsidR="00B95210" w:rsidRDefault="00B95210" w:rsidP="00B95210">
      <w:pPr>
        <w:rPr>
          <w:rFonts w:hint="cs"/>
          <w:rtl/>
        </w:rPr>
      </w:pPr>
      <w:r>
        <w:rPr>
          <w:rFonts w:hint="cs"/>
          <w:rtl/>
        </w:rPr>
        <w:t>והנה, פעמים רבות מתארים איש ואשה כמשפיע ומקבל</w:t>
      </w:r>
      <w:r w:rsidRPr="008636EE">
        <w:rPr>
          <w:rStyle w:val="a3"/>
          <w:rtl/>
        </w:rPr>
        <w:endnoteReference w:id="10"/>
      </w:r>
      <w:r>
        <w:rPr>
          <w:rFonts w:hint="cs"/>
          <w:rtl/>
        </w:rPr>
        <w:t>, היינו שהאשה היא האביון המקבל מהאיש-המשפיע. אך כאן, מהקבלת "איש לרעהו ומתנות לאביונים" ל-</w:t>
      </w:r>
      <w:r w:rsidRPr="006D5E50">
        <w:rPr>
          <w:rFonts w:hint="cs"/>
          <w:b/>
          <w:bCs/>
          <w:sz w:val="28"/>
          <w:szCs w:val="28"/>
          <w:rtl/>
        </w:rPr>
        <w:t>וה</w:t>
      </w:r>
      <w:r>
        <w:rPr>
          <w:rFonts w:hint="cs"/>
          <w:rtl/>
        </w:rPr>
        <w:t>, החתן והכלה, עולה כי דווקא על האיש מוטל להשפיע באופן שויוני של "איש לרעהו" ואילו האשה היא הנותנת לבעלה-הנזקק</w:t>
      </w:r>
      <w:r w:rsidRPr="008636EE">
        <w:rPr>
          <w:rStyle w:val="a3"/>
          <w:rtl/>
        </w:rPr>
        <w:endnoteReference w:id="11"/>
      </w:r>
      <w:r>
        <w:rPr>
          <w:rFonts w:hint="cs"/>
          <w:rtl/>
        </w:rPr>
        <w:t xml:space="preserve"> "מתנות לאביונים". אכן, מכיון שיחוד אמתי בין איש ואשה דורש התכללות</w:t>
      </w:r>
      <w:r w:rsidRPr="008636EE">
        <w:rPr>
          <w:rStyle w:val="a3"/>
          <w:rtl/>
        </w:rPr>
        <w:endnoteReference w:id="12"/>
      </w:r>
      <w:r>
        <w:rPr>
          <w:rFonts w:hint="cs"/>
          <w:rtl/>
        </w:rPr>
        <w:t xml:space="preserve">, בכל אחד מתגלה בחינתו של זולתו ולפעמים דווקא באופן בולט יותר </w:t>
      </w:r>
      <w:r>
        <w:rPr>
          <w:rtl/>
        </w:rPr>
        <w:t>–</w:t>
      </w:r>
      <w:r>
        <w:rPr>
          <w:rFonts w:hint="cs"/>
          <w:rtl/>
        </w:rPr>
        <w:t xml:space="preserve"> ה'איש שבאשה' (</w:t>
      </w:r>
      <w:r w:rsidRPr="000A3C9C">
        <w:rPr>
          <w:rFonts w:hint="cs"/>
          <w:b/>
          <w:bCs/>
          <w:sz w:val="28"/>
          <w:szCs w:val="28"/>
          <w:rtl/>
        </w:rPr>
        <w:t>מה</w:t>
      </w:r>
      <w:r>
        <w:rPr>
          <w:rFonts w:hint="cs"/>
          <w:rtl/>
        </w:rPr>
        <w:t xml:space="preserve"> ד-</w:t>
      </w:r>
      <w:r w:rsidRPr="000A3C9C">
        <w:rPr>
          <w:rFonts w:hint="cs"/>
          <w:b/>
          <w:bCs/>
          <w:sz w:val="28"/>
          <w:szCs w:val="28"/>
          <w:rtl/>
        </w:rPr>
        <w:t>בן</w:t>
      </w:r>
      <w:r>
        <w:rPr>
          <w:rFonts w:hint="cs"/>
          <w:rtl/>
        </w:rPr>
        <w:t>) מבליט בנתינות שלה את הצד השויון והשעשוע שבנתינה וה'אשה שבאיש' (</w:t>
      </w:r>
      <w:r w:rsidRPr="000A3C9C">
        <w:rPr>
          <w:rFonts w:hint="cs"/>
          <w:b/>
          <w:bCs/>
          <w:sz w:val="28"/>
          <w:szCs w:val="28"/>
          <w:rtl/>
        </w:rPr>
        <w:t>בן</w:t>
      </w:r>
      <w:r>
        <w:rPr>
          <w:rFonts w:hint="cs"/>
          <w:rtl/>
        </w:rPr>
        <w:t xml:space="preserve"> ד-</w:t>
      </w:r>
      <w:r w:rsidRPr="000A3C9C">
        <w:rPr>
          <w:rFonts w:hint="cs"/>
          <w:b/>
          <w:bCs/>
          <w:sz w:val="28"/>
          <w:szCs w:val="28"/>
          <w:rtl/>
        </w:rPr>
        <w:t>מה</w:t>
      </w:r>
      <w:r>
        <w:rPr>
          <w:rFonts w:hint="cs"/>
          <w:rtl/>
        </w:rPr>
        <w:t>) מבליטה בנתינות שלו את ההעתרות לחסרון ולאביונות של האשה (ועם כל זה, "יותר ממה שבעל הבית עושה עם העני העני עושה עם בעל הבית"</w:t>
      </w:r>
      <w:r w:rsidRPr="008636EE">
        <w:rPr>
          <w:rStyle w:val="a3"/>
          <w:rtl/>
        </w:rPr>
        <w:endnoteReference w:id="13"/>
      </w:r>
      <w:r>
        <w:rPr>
          <w:rFonts w:hint="cs"/>
          <w:rtl/>
        </w:rPr>
        <w:t xml:space="preserve"> ודווקא המקבל עולה למעלה ראש</w:t>
      </w:r>
      <w:r w:rsidRPr="008636EE">
        <w:rPr>
          <w:rStyle w:val="a3"/>
          <w:rtl/>
        </w:rPr>
        <w:endnoteReference w:id="14"/>
      </w:r>
      <w:r>
        <w:rPr>
          <w:rFonts w:hint="cs"/>
          <w:rtl/>
        </w:rPr>
        <w:t xml:space="preserve"> </w:t>
      </w:r>
      <w:r>
        <w:rPr>
          <w:rtl/>
        </w:rPr>
        <w:t>–</w:t>
      </w:r>
      <w:r>
        <w:rPr>
          <w:rFonts w:hint="cs"/>
          <w:rtl/>
        </w:rPr>
        <w:t xml:space="preserve"> "אשת חיל עטרת בעלה"</w:t>
      </w:r>
      <w:r w:rsidRPr="008636EE">
        <w:rPr>
          <w:rStyle w:val="a3"/>
          <w:rtl/>
        </w:rPr>
        <w:endnoteReference w:id="15"/>
      </w:r>
      <w:r>
        <w:rPr>
          <w:rFonts w:hint="cs"/>
          <w:rtl/>
        </w:rPr>
        <w:t xml:space="preserve"> </w:t>
      </w:r>
      <w:r>
        <w:rPr>
          <w:rtl/>
        </w:rPr>
        <w:t>–</w:t>
      </w:r>
      <w:r>
        <w:rPr>
          <w:rFonts w:hint="cs"/>
          <w:rtl/>
        </w:rPr>
        <w:t xml:space="preserve"> משום שדווקא ההזדקקות הגמורה של האביון ה"תאב לכל דבר" מבן זוגו מגלה את עומק הזיקה וההתקשרות המוחלטת, תובעת-הכל, לבן הזוג</w:t>
      </w:r>
      <w:r w:rsidRPr="008636EE">
        <w:rPr>
          <w:rStyle w:val="a3"/>
          <w:rtl/>
        </w:rPr>
        <w:endnoteReference w:id="16"/>
      </w:r>
      <w:r>
        <w:rPr>
          <w:rFonts w:hint="cs"/>
          <w:rtl/>
        </w:rPr>
        <w:t>).</w:t>
      </w:r>
    </w:p>
    <w:p w:rsidR="005F4A47" w:rsidRDefault="005D62C7">
      <w:bookmarkStart w:id="2" w:name="_GoBack"/>
      <w:bookmarkEnd w:id="2"/>
    </w:p>
    <w:sectPr w:rsidR="005F4A47" w:rsidSect="00061E65">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D62C7" w:rsidRDefault="005D62C7" w:rsidP="00B95210">
      <w:pPr>
        <w:spacing w:after="0" w:line="240" w:lineRule="auto"/>
      </w:pPr>
      <w:r>
        <w:separator/>
      </w:r>
    </w:p>
  </w:endnote>
  <w:endnote w:type="continuationSeparator" w:id="0">
    <w:p w:rsidR="005D62C7" w:rsidRDefault="005D62C7" w:rsidP="00B95210">
      <w:pPr>
        <w:spacing w:after="0" w:line="240" w:lineRule="auto"/>
      </w:pPr>
      <w:r>
        <w:continuationSeparator/>
      </w:r>
    </w:p>
  </w:endnote>
  <w:endnote w:id="1">
    <w:p w:rsidR="00B95210" w:rsidRDefault="00B95210" w:rsidP="00B95210">
      <w:pPr>
        <w:pStyle w:val="a4"/>
        <w:rPr>
          <w:rFonts w:hint="cs"/>
          <w:rtl/>
        </w:rPr>
      </w:pPr>
      <w:r>
        <w:rPr>
          <w:rtl/>
        </w:rPr>
        <w:tab/>
      </w:r>
      <w:r w:rsidRPr="00944A81">
        <w:rPr>
          <w:rtl/>
        </w:rPr>
        <w:endnoteRef/>
      </w:r>
      <w:r>
        <w:rPr>
          <w:rtl/>
        </w:rPr>
        <w:t>.</w:t>
      </w:r>
      <w:r>
        <w:rPr>
          <w:rtl/>
        </w:rPr>
        <w:tab/>
      </w:r>
      <w:r>
        <w:rPr>
          <w:rFonts w:hint="cs"/>
          <w:rtl/>
        </w:rPr>
        <w:t>ראה באורך סוד הוי' ליראיו שער נ פ"י (עמ' תקע-תקעא).</w:t>
      </w:r>
    </w:p>
  </w:endnote>
  <w:endnote w:id="2">
    <w:p w:rsidR="00B95210" w:rsidRDefault="00B95210" w:rsidP="00B95210">
      <w:pPr>
        <w:pStyle w:val="a4"/>
        <w:rPr>
          <w:rFonts w:hint="cs"/>
        </w:rPr>
      </w:pPr>
      <w:r>
        <w:rPr>
          <w:rtl/>
        </w:rPr>
        <w:tab/>
      </w:r>
      <w:r w:rsidRPr="00944A81">
        <w:rPr>
          <w:rtl/>
        </w:rPr>
        <w:endnoteRef/>
      </w:r>
      <w:r>
        <w:rPr>
          <w:rtl/>
        </w:rPr>
        <w:t>.</w:t>
      </w:r>
      <w:r>
        <w:rPr>
          <w:rtl/>
        </w:rPr>
        <w:tab/>
      </w:r>
      <w:r>
        <w:rPr>
          <w:rFonts w:hint="cs"/>
          <w:rtl/>
        </w:rPr>
        <w:t>אסתר ט, כב. ראה ערוגת הבשם בשם ספר אמרכל.</w:t>
      </w:r>
    </w:p>
  </w:endnote>
  <w:endnote w:id="3">
    <w:p w:rsidR="00B95210" w:rsidRDefault="00B95210" w:rsidP="00B95210">
      <w:pPr>
        <w:pStyle w:val="a4"/>
        <w:rPr>
          <w:rFonts w:hint="cs"/>
        </w:rPr>
      </w:pPr>
      <w:r>
        <w:rPr>
          <w:rtl/>
        </w:rPr>
        <w:tab/>
      </w:r>
      <w:r w:rsidRPr="00944A81">
        <w:rPr>
          <w:rtl/>
        </w:rPr>
        <w:endnoteRef/>
      </w:r>
      <w:r>
        <w:rPr>
          <w:rtl/>
        </w:rPr>
        <w:t>.</w:t>
      </w:r>
      <w:r>
        <w:rPr>
          <w:rtl/>
        </w:rPr>
        <w:tab/>
      </w:r>
      <w:r>
        <w:rPr>
          <w:rFonts w:hint="cs"/>
          <w:rtl/>
        </w:rPr>
        <w:t>תהלים פט, ג.</w:t>
      </w:r>
    </w:p>
  </w:endnote>
  <w:endnote w:id="4">
    <w:p w:rsidR="00B95210" w:rsidRDefault="00B95210" w:rsidP="00B95210">
      <w:pPr>
        <w:pStyle w:val="a4"/>
        <w:rPr>
          <w:rFonts w:hint="cs"/>
          <w:rtl/>
        </w:rPr>
      </w:pPr>
      <w:r>
        <w:rPr>
          <w:rtl/>
        </w:rPr>
        <w:tab/>
      </w:r>
      <w:r w:rsidRPr="00944A81">
        <w:rPr>
          <w:rtl/>
        </w:rPr>
        <w:endnoteRef/>
      </w:r>
      <w:r>
        <w:rPr>
          <w:rtl/>
        </w:rPr>
        <w:t>.</w:t>
      </w:r>
      <w:r>
        <w:rPr>
          <w:rtl/>
        </w:rPr>
        <w:tab/>
      </w:r>
      <w:r>
        <w:rPr>
          <w:rFonts w:hint="cs"/>
          <w:rtl/>
        </w:rPr>
        <w:t>נוסח ברכת "שמח תשמח" מתוך שבע ברכות.</w:t>
      </w:r>
    </w:p>
  </w:endnote>
  <w:endnote w:id="5">
    <w:p w:rsidR="00B95210" w:rsidRDefault="00B95210" w:rsidP="00B95210">
      <w:pPr>
        <w:pStyle w:val="a4"/>
        <w:rPr>
          <w:rFonts w:hint="cs"/>
          <w:rtl/>
        </w:rPr>
      </w:pPr>
      <w:r>
        <w:rPr>
          <w:rtl/>
        </w:rPr>
        <w:tab/>
      </w:r>
      <w:r w:rsidRPr="00944A81">
        <w:rPr>
          <w:rtl/>
        </w:rPr>
        <w:endnoteRef/>
      </w:r>
      <w:r>
        <w:rPr>
          <w:rtl/>
        </w:rPr>
        <w:t>.</w:t>
      </w:r>
      <w:r>
        <w:rPr>
          <w:rtl/>
        </w:rPr>
        <w:tab/>
      </w:r>
      <w:r>
        <w:rPr>
          <w:rFonts w:hint="cs"/>
          <w:rtl/>
        </w:rPr>
        <w:t>ראה רש"י לדברים כד, יד.</w:t>
      </w:r>
    </w:p>
  </w:endnote>
  <w:endnote w:id="6">
    <w:p w:rsidR="00B95210" w:rsidRDefault="00B95210" w:rsidP="00B95210">
      <w:pPr>
        <w:pStyle w:val="a4"/>
        <w:rPr>
          <w:rFonts w:hint="cs"/>
          <w:rtl/>
        </w:rPr>
      </w:pPr>
      <w:r>
        <w:rPr>
          <w:rtl/>
        </w:rPr>
        <w:tab/>
      </w:r>
      <w:r w:rsidRPr="00944A81">
        <w:rPr>
          <w:rtl/>
        </w:rPr>
        <w:endnoteRef/>
      </w:r>
      <w:r>
        <w:rPr>
          <w:rtl/>
        </w:rPr>
        <w:t>.</w:t>
      </w:r>
      <w:r>
        <w:rPr>
          <w:rtl/>
        </w:rPr>
        <w:tab/>
      </w:r>
      <w:r>
        <w:rPr>
          <w:rFonts w:hint="cs"/>
          <w:rtl/>
        </w:rPr>
        <w:t>דברים טו, יא.</w:t>
      </w:r>
    </w:p>
  </w:endnote>
  <w:endnote w:id="7">
    <w:p w:rsidR="00B95210" w:rsidRDefault="00B95210" w:rsidP="00B95210">
      <w:pPr>
        <w:pStyle w:val="a4"/>
        <w:rPr>
          <w:rFonts w:hint="cs"/>
          <w:rtl/>
        </w:rPr>
      </w:pPr>
      <w:r>
        <w:rPr>
          <w:rtl/>
        </w:rPr>
        <w:tab/>
      </w:r>
      <w:r w:rsidRPr="00944A81">
        <w:rPr>
          <w:rtl/>
        </w:rPr>
        <w:endnoteRef/>
      </w:r>
      <w:r>
        <w:rPr>
          <w:rtl/>
        </w:rPr>
        <w:t>.</w:t>
      </w:r>
      <w:r>
        <w:rPr>
          <w:rtl/>
        </w:rPr>
        <w:tab/>
      </w:r>
      <w:r>
        <w:rPr>
          <w:rFonts w:hint="cs"/>
          <w:rtl/>
        </w:rPr>
        <w:t>וראה באורך שכינה ביניהם פ"ג (עמ' קטו והלאה).</w:t>
      </w:r>
    </w:p>
  </w:endnote>
  <w:endnote w:id="8">
    <w:p w:rsidR="00B95210" w:rsidRDefault="00B95210" w:rsidP="00B95210">
      <w:pPr>
        <w:pStyle w:val="a4"/>
        <w:rPr>
          <w:rFonts w:hint="cs"/>
        </w:rPr>
      </w:pPr>
      <w:r>
        <w:rPr>
          <w:rtl/>
        </w:rPr>
        <w:tab/>
      </w:r>
      <w:r w:rsidRPr="00944A81">
        <w:rPr>
          <w:rtl/>
        </w:rPr>
        <w:endnoteRef/>
      </w:r>
      <w:r>
        <w:rPr>
          <w:rtl/>
        </w:rPr>
        <w:t>.</w:t>
      </w:r>
      <w:r>
        <w:rPr>
          <w:rtl/>
        </w:rPr>
        <w:tab/>
      </w:r>
      <w:r>
        <w:rPr>
          <w:rFonts w:hint="cs"/>
          <w:rtl/>
        </w:rPr>
        <w:t>דברים טו, ח.</w:t>
      </w:r>
    </w:p>
  </w:endnote>
  <w:endnote w:id="9">
    <w:p w:rsidR="00B95210" w:rsidRDefault="00B95210" w:rsidP="00B95210">
      <w:pPr>
        <w:pStyle w:val="a4"/>
        <w:rPr>
          <w:rFonts w:hint="cs"/>
        </w:rPr>
      </w:pPr>
      <w:r>
        <w:rPr>
          <w:rtl/>
        </w:rPr>
        <w:tab/>
      </w:r>
      <w:r w:rsidRPr="00944A81">
        <w:rPr>
          <w:rtl/>
        </w:rPr>
        <w:endnoteRef/>
      </w:r>
      <w:r>
        <w:rPr>
          <w:rtl/>
        </w:rPr>
        <w:t>.</w:t>
      </w:r>
      <w:r>
        <w:rPr>
          <w:rtl/>
        </w:rPr>
        <w:tab/>
      </w:r>
      <w:r>
        <w:rPr>
          <w:rFonts w:hint="cs"/>
          <w:rtl/>
        </w:rPr>
        <w:t>רש"י שם ע"פ כתובות סז, ב (וראה הקדמת שכינה ביניהם הערה א).</w:t>
      </w:r>
    </w:p>
  </w:endnote>
  <w:endnote w:id="10">
    <w:p w:rsidR="00B95210" w:rsidRDefault="00B95210" w:rsidP="00B95210">
      <w:pPr>
        <w:pStyle w:val="a4"/>
        <w:rPr>
          <w:rFonts w:hint="cs"/>
          <w:rtl/>
        </w:rPr>
      </w:pPr>
      <w:r>
        <w:rPr>
          <w:rtl/>
        </w:rPr>
        <w:tab/>
      </w:r>
      <w:r w:rsidRPr="00944A81">
        <w:rPr>
          <w:rtl/>
        </w:rPr>
        <w:endnoteRef/>
      </w:r>
      <w:r>
        <w:rPr>
          <w:rtl/>
        </w:rPr>
        <w:t>.</w:t>
      </w:r>
      <w:r>
        <w:rPr>
          <w:rtl/>
        </w:rPr>
        <w:tab/>
      </w:r>
      <w:r>
        <w:rPr>
          <w:rFonts w:hint="cs"/>
          <w:rtl/>
        </w:rPr>
        <w:t>אך ראה סה"מ אעת"ר עמ' קמא כי הגדרת זכר-נקבה כמשפיע-מקבל אינה מדויקת.</w:t>
      </w:r>
    </w:p>
  </w:endnote>
  <w:endnote w:id="11">
    <w:p w:rsidR="00B95210" w:rsidRDefault="00B95210" w:rsidP="00B95210">
      <w:pPr>
        <w:pStyle w:val="a4"/>
        <w:rPr>
          <w:rFonts w:hint="cs"/>
          <w:rtl/>
        </w:rPr>
      </w:pPr>
      <w:r>
        <w:rPr>
          <w:rtl/>
        </w:rPr>
        <w:tab/>
      </w:r>
      <w:r w:rsidRPr="00944A81">
        <w:rPr>
          <w:rtl/>
        </w:rPr>
        <w:endnoteRef/>
      </w:r>
      <w:r>
        <w:rPr>
          <w:rtl/>
        </w:rPr>
        <w:t>.</w:t>
      </w:r>
      <w:r>
        <w:rPr>
          <w:rtl/>
        </w:rPr>
        <w:tab/>
      </w:r>
      <w:r>
        <w:rPr>
          <w:rFonts w:hint="cs"/>
          <w:rtl/>
        </w:rPr>
        <w:t>וראה כתובות סד, ב: "צא ולמד משוק של זונות מי שוכר את מי".</w:t>
      </w:r>
    </w:p>
  </w:endnote>
  <w:endnote w:id="12">
    <w:p w:rsidR="00B95210" w:rsidRDefault="00B95210" w:rsidP="00B95210">
      <w:pPr>
        <w:pStyle w:val="a4"/>
        <w:rPr>
          <w:rFonts w:hint="cs"/>
          <w:rtl/>
        </w:rPr>
      </w:pPr>
      <w:r>
        <w:rPr>
          <w:rtl/>
        </w:rPr>
        <w:tab/>
      </w:r>
      <w:r w:rsidRPr="00944A81">
        <w:rPr>
          <w:rtl/>
        </w:rPr>
        <w:endnoteRef/>
      </w:r>
      <w:r>
        <w:rPr>
          <w:rtl/>
        </w:rPr>
        <w:t>.</w:t>
      </w:r>
      <w:r>
        <w:rPr>
          <w:rtl/>
        </w:rPr>
        <w:tab/>
      </w:r>
      <w:r>
        <w:rPr>
          <w:rFonts w:hint="cs"/>
          <w:rtl/>
        </w:rPr>
        <w:t>ראה גם בשער ג בתורה "לאסתכלא ביקרא דמלכא" והנסמן שם.</w:t>
      </w:r>
    </w:p>
  </w:endnote>
  <w:endnote w:id="13">
    <w:p w:rsidR="00B95210" w:rsidRDefault="00B95210" w:rsidP="00B95210">
      <w:pPr>
        <w:pStyle w:val="a4"/>
        <w:rPr>
          <w:rFonts w:hint="cs"/>
        </w:rPr>
      </w:pPr>
      <w:r>
        <w:rPr>
          <w:rtl/>
        </w:rPr>
        <w:tab/>
      </w:r>
      <w:r w:rsidRPr="00944A81">
        <w:rPr>
          <w:rtl/>
        </w:rPr>
        <w:endnoteRef/>
      </w:r>
      <w:r>
        <w:rPr>
          <w:rtl/>
        </w:rPr>
        <w:t>.</w:t>
      </w:r>
      <w:r>
        <w:rPr>
          <w:rtl/>
        </w:rPr>
        <w:tab/>
      </w:r>
      <w:r>
        <w:rPr>
          <w:rFonts w:hint="cs"/>
          <w:rtl/>
        </w:rPr>
        <w:t>ויקרא רבה לד, ח.</w:t>
      </w:r>
    </w:p>
  </w:endnote>
  <w:endnote w:id="14">
    <w:p w:rsidR="00B95210" w:rsidRDefault="00B95210" w:rsidP="00B95210">
      <w:pPr>
        <w:pStyle w:val="a4"/>
        <w:rPr>
          <w:rFonts w:hint="cs"/>
        </w:rPr>
      </w:pPr>
      <w:r>
        <w:rPr>
          <w:rtl/>
        </w:rPr>
        <w:tab/>
      </w:r>
      <w:r w:rsidRPr="00944A81">
        <w:rPr>
          <w:rtl/>
        </w:rPr>
        <w:endnoteRef/>
      </w:r>
      <w:r>
        <w:rPr>
          <w:rtl/>
        </w:rPr>
        <w:t>.</w:t>
      </w:r>
      <w:r>
        <w:rPr>
          <w:rtl/>
        </w:rPr>
        <w:tab/>
      </w:r>
      <w:r>
        <w:rPr>
          <w:rFonts w:hint="cs"/>
          <w:rtl/>
        </w:rPr>
        <w:t>וראה באורך במאמר "לכה דודי" תרפ"ט (ובמאמר "לכה דודי" תשי"ד) אותו נהוג לחזור בקבלת הפנים לחתן.</w:t>
      </w:r>
    </w:p>
  </w:endnote>
  <w:endnote w:id="15">
    <w:p w:rsidR="00B95210" w:rsidRDefault="00B95210" w:rsidP="00B95210">
      <w:pPr>
        <w:pStyle w:val="a4"/>
        <w:rPr>
          <w:rFonts w:hint="cs"/>
        </w:rPr>
      </w:pPr>
      <w:r>
        <w:rPr>
          <w:rtl/>
        </w:rPr>
        <w:tab/>
      </w:r>
      <w:r w:rsidRPr="00944A81">
        <w:rPr>
          <w:rtl/>
        </w:rPr>
        <w:endnoteRef/>
      </w:r>
      <w:r>
        <w:rPr>
          <w:rtl/>
        </w:rPr>
        <w:t>.</w:t>
      </w:r>
      <w:r>
        <w:rPr>
          <w:rtl/>
        </w:rPr>
        <w:tab/>
      </w:r>
      <w:r>
        <w:rPr>
          <w:rFonts w:hint="cs"/>
          <w:rtl/>
        </w:rPr>
        <w:t>משלי יב, ד.</w:t>
      </w:r>
    </w:p>
  </w:endnote>
  <w:endnote w:id="16">
    <w:p w:rsidR="00B95210" w:rsidRDefault="00B95210" w:rsidP="00B95210">
      <w:pPr>
        <w:pStyle w:val="a4"/>
        <w:rPr>
          <w:rFonts w:hint="cs"/>
          <w:rtl/>
        </w:rPr>
      </w:pPr>
      <w:r>
        <w:rPr>
          <w:rtl/>
        </w:rPr>
        <w:tab/>
      </w:r>
      <w:r w:rsidRPr="00944A81">
        <w:rPr>
          <w:rtl/>
        </w:rPr>
        <w:endnoteRef/>
      </w:r>
      <w:r>
        <w:rPr>
          <w:rtl/>
        </w:rPr>
        <w:t>.</w:t>
      </w:r>
      <w:r>
        <w:rPr>
          <w:rtl/>
        </w:rPr>
        <w:tab/>
      </w:r>
      <w:r>
        <w:rPr>
          <w:rFonts w:hint="cs"/>
          <w:rtl/>
        </w:rPr>
        <w:t>כמבואר בארוכה בתורה הקודמת.</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rFrank">
    <w:altName w:val="Courier New"/>
    <w:charset w:val="00"/>
    <w:family w:val="auto"/>
    <w:pitch w:val="variable"/>
    <w:sig w:usb0="00000000" w:usb1="5000004A" w:usb2="00000000" w:usb3="00000000" w:csb0="00000021" w:csb1="00000000"/>
  </w:font>
  <w:font w:name="DF Calligraphic Ornaments LET">
    <w:altName w:val="Symbol"/>
    <w:charset w:val="02"/>
    <w:family w:val="auto"/>
    <w:pitch w:val="variable"/>
    <w:sig w:usb0="00000000" w:usb1="10000000" w:usb2="00000000" w:usb3="00000000" w:csb0="80000000" w:csb1="00000000"/>
  </w:font>
  <w:font w:name="Guttman Soncino">
    <w:altName w:val="Courier New"/>
    <w:charset w:val="B1"/>
    <w:family w:val="auto"/>
    <w:pitch w:val="variable"/>
    <w:sig w:usb0="00000800" w:usb1="4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D62C7" w:rsidRDefault="005D62C7" w:rsidP="00B95210">
      <w:pPr>
        <w:spacing w:after="0" w:line="240" w:lineRule="auto"/>
      </w:pPr>
      <w:r>
        <w:separator/>
      </w:r>
    </w:p>
  </w:footnote>
  <w:footnote w:type="continuationSeparator" w:id="0">
    <w:p w:rsidR="005D62C7" w:rsidRDefault="005D62C7" w:rsidP="00B9521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7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0EEC"/>
    <w:rsid w:val="00061E65"/>
    <w:rsid w:val="005D62C7"/>
    <w:rsid w:val="00AC2310"/>
    <w:rsid w:val="00B95210"/>
    <w:rsid w:val="00F20EE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Normal"/>
    <w:qFormat/>
    <w:rsid w:val="00B95210"/>
    <w:pPr>
      <w:bidi/>
      <w:spacing w:after="120" w:line="380" w:lineRule="exact"/>
      <w:jc w:val="both"/>
    </w:pPr>
    <w:rPr>
      <w:rFonts w:ascii="Times New Roman" w:eastAsia="Times New Roman" w:hAnsi="Times New Roman" w:cs="oprFrank"/>
      <w:sz w:val="26"/>
      <w:szCs w:val="27"/>
      <w:lang w:eastAsia="he-IL"/>
    </w:rPr>
  </w:style>
  <w:style w:type="paragraph" w:styleId="2">
    <w:name w:val="heading 2"/>
    <w:aliases w:val="Heading 2"/>
    <w:next w:val="a"/>
    <w:link w:val="20"/>
    <w:qFormat/>
    <w:rsid w:val="00B95210"/>
    <w:pPr>
      <w:bidi/>
      <w:spacing w:before="1080" w:after="720" w:line="240" w:lineRule="auto"/>
      <w:ind w:left="-45"/>
      <w:jc w:val="right"/>
      <w:outlineLvl w:val="1"/>
    </w:pPr>
    <w:rPr>
      <w:rFonts w:ascii="DF Calligraphic Ornaments LET" w:eastAsia="Times New Roman" w:hAnsi="DF Calligraphic Ornaments LET" w:cs="Guttman Soncino"/>
      <w:noProof/>
      <w:spacing w:val="20"/>
      <w:w w:val="90"/>
      <w:kern w:val="28"/>
      <w:sz w:val="44"/>
      <w:szCs w:val="4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כותרת 2 תו"/>
    <w:basedOn w:val="a0"/>
    <w:link w:val="2"/>
    <w:rsid w:val="00B95210"/>
    <w:rPr>
      <w:rFonts w:ascii="DF Calligraphic Ornaments LET" w:eastAsia="Times New Roman" w:hAnsi="DF Calligraphic Ornaments LET" w:cs="Guttman Soncino"/>
      <w:noProof/>
      <w:spacing w:val="20"/>
      <w:w w:val="90"/>
      <w:kern w:val="28"/>
      <w:sz w:val="44"/>
      <w:szCs w:val="46"/>
    </w:rPr>
  </w:style>
  <w:style w:type="character" w:styleId="a3">
    <w:name w:val="footnote reference"/>
    <w:aliases w:val="Footnote Reference"/>
    <w:basedOn w:val="a0"/>
    <w:semiHidden/>
    <w:rsid w:val="00B95210"/>
    <w:rPr>
      <w:noProof/>
      <w:position w:val="-4"/>
      <w:szCs w:val="26"/>
      <w:vertAlign w:val="superscript"/>
    </w:rPr>
  </w:style>
  <w:style w:type="paragraph" w:styleId="a4">
    <w:name w:val="endnote text"/>
    <w:aliases w:val="Endnote Text"/>
    <w:basedOn w:val="a"/>
    <w:link w:val="a5"/>
    <w:semiHidden/>
    <w:rsid w:val="00B95210"/>
    <w:pPr>
      <w:tabs>
        <w:tab w:val="right" w:pos="266"/>
        <w:tab w:val="left" w:pos="340"/>
      </w:tabs>
      <w:spacing w:after="20" w:line="260" w:lineRule="exact"/>
      <w:ind w:left="340" w:hanging="340"/>
    </w:pPr>
    <w:rPr>
      <w:sz w:val="20"/>
      <w:szCs w:val="23"/>
    </w:rPr>
  </w:style>
  <w:style w:type="character" w:customStyle="1" w:styleId="a5">
    <w:name w:val="טקסט הערת סיום תו"/>
    <w:basedOn w:val="a0"/>
    <w:link w:val="a4"/>
    <w:semiHidden/>
    <w:rsid w:val="00B95210"/>
    <w:rPr>
      <w:rFonts w:ascii="Times New Roman" w:eastAsia="Times New Roman" w:hAnsi="Times New Roman" w:cs="oprFrank"/>
      <w:sz w:val="20"/>
      <w:szCs w:val="23"/>
      <w:lang w:eastAsia="he-IL"/>
    </w:rPr>
  </w:style>
  <w:style w:type="paragraph" w:customStyle="1" w:styleId="a6">
    <w:name w:val="פתיח תו"/>
    <w:basedOn w:val="a"/>
    <w:link w:val="a7"/>
    <w:rsid w:val="00B95210"/>
    <w:pPr>
      <w:keepNext/>
      <w:framePr w:wrap="around" w:vAnchor="text" w:hAnchor="text" w:xAlign="right"/>
      <w:spacing w:after="0" w:line="720" w:lineRule="exact"/>
      <w:textAlignment w:val="baseline"/>
    </w:pPr>
    <w:rPr>
      <w:rFonts w:cs="Guttman Soncino"/>
      <w:b/>
      <w:bCs/>
      <w:color w:val="808080"/>
      <w:position w:val="-5"/>
      <w:sz w:val="85"/>
      <w:szCs w:val="85"/>
    </w:rPr>
  </w:style>
  <w:style w:type="character" w:customStyle="1" w:styleId="a7">
    <w:name w:val="פתיח תו תו"/>
    <w:basedOn w:val="a0"/>
    <w:link w:val="a6"/>
    <w:rsid w:val="00B95210"/>
    <w:rPr>
      <w:rFonts w:ascii="Times New Roman" w:eastAsia="Times New Roman" w:hAnsi="Times New Roman" w:cs="Guttman Soncino"/>
      <w:b/>
      <w:bCs/>
      <w:color w:val="808080"/>
      <w:position w:val="-5"/>
      <w:sz w:val="85"/>
      <w:szCs w:val="85"/>
      <w:lang w:eastAsia="he-I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Normal"/>
    <w:qFormat/>
    <w:rsid w:val="00B95210"/>
    <w:pPr>
      <w:bidi/>
      <w:spacing w:after="120" w:line="380" w:lineRule="exact"/>
      <w:jc w:val="both"/>
    </w:pPr>
    <w:rPr>
      <w:rFonts w:ascii="Times New Roman" w:eastAsia="Times New Roman" w:hAnsi="Times New Roman" w:cs="oprFrank"/>
      <w:sz w:val="26"/>
      <w:szCs w:val="27"/>
      <w:lang w:eastAsia="he-IL"/>
    </w:rPr>
  </w:style>
  <w:style w:type="paragraph" w:styleId="2">
    <w:name w:val="heading 2"/>
    <w:aliases w:val="Heading 2"/>
    <w:next w:val="a"/>
    <w:link w:val="20"/>
    <w:qFormat/>
    <w:rsid w:val="00B95210"/>
    <w:pPr>
      <w:bidi/>
      <w:spacing w:before="1080" w:after="720" w:line="240" w:lineRule="auto"/>
      <w:ind w:left="-45"/>
      <w:jc w:val="right"/>
      <w:outlineLvl w:val="1"/>
    </w:pPr>
    <w:rPr>
      <w:rFonts w:ascii="DF Calligraphic Ornaments LET" w:eastAsia="Times New Roman" w:hAnsi="DF Calligraphic Ornaments LET" w:cs="Guttman Soncino"/>
      <w:noProof/>
      <w:spacing w:val="20"/>
      <w:w w:val="90"/>
      <w:kern w:val="28"/>
      <w:sz w:val="44"/>
      <w:szCs w:val="4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כותרת 2 תו"/>
    <w:basedOn w:val="a0"/>
    <w:link w:val="2"/>
    <w:rsid w:val="00B95210"/>
    <w:rPr>
      <w:rFonts w:ascii="DF Calligraphic Ornaments LET" w:eastAsia="Times New Roman" w:hAnsi="DF Calligraphic Ornaments LET" w:cs="Guttman Soncino"/>
      <w:noProof/>
      <w:spacing w:val="20"/>
      <w:w w:val="90"/>
      <w:kern w:val="28"/>
      <w:sz w:val="44"/>
      <w:szCs w:val="46"/>
    </w:rPr>
  </w:style>
  <w:style w:type="character" w:styleId="a3">
    <w:name w:val="footnote reference"/>
    <w:aliases w:val="Footnote Reference"/>
    <w:basedOn w:val="a0"/>
    <w:semiHidden/>
    <w:rsid w:val="00B95210"/>
    <w:rPr>
      <w:noProof/>
      <w:position w:val="-4"/>
      <w:szCs w:val="26"/>
      <w:vertAlign w:val="superscript"/>
    </w:rPr>
  </w:style>
  <w:style w:type="paragraph" w:styleId="a4">
    <w:name w:val="endnote text"/>
    <w:aliases w:val="Endnote Text"/>
    <w:basedOn w:val="a"/>
    <w:link w:val="a5"/>
    <w:semiHidden/>
    <w:rsid w:val="00B95210"/>
    <w:pPr>
      <w:tabs>
        <w:tab w:val="right" w:pos="266"/>
        <w:tab w:val="left" w:pos="340"/>
      </w:tabs>
      <w:spacing w:after="20" w:line="260" w:lineRule="exact"/>
      <w:ind w:left="340" w:hanging="340"/>
    </w:pPr>
    <w:rPr>
      <w:sz w:val="20"/>
      <w:szCs w:val="23"/>
    </w:rPr>
  </w:style>
  <w:style w:type="character" w:customStyle="1" w:styleId="a5">
    <w:name w:val="טקסט הערת סיום תו"/>
    <w:basedOn w:val="a0"/>
    <w:link w:val="a4"/>
    <w:semiHidden/>
    <w:rsid w:val="00B95210"/>
    <w:rPr>
      <w:rFonts w:ascii="Times New Roman" w:eastAsia="Times New Roman" w:hAnsi="Times New Roman" w:cs="oprFrank"/>
      <w:sz w:val="20"/>
      <w:szCs w:val="23"/>
      <w:lang w:eastAsia="he-IL"/>
    </w:rPr>
  </w:style>
  <w:style w:type="paragraph" w:customStyle="1" w:styleId="a6">
    <w:name w:val="פתיח תו"/>
    <w:basedOn w:val="a"/>
    <w:link w:val="a7"/>
    <w:rsid w:val="00B95210"/>
    <w:pPr>
      <w:keepNext/>
      <w:framePr w:wrap="around" w:vAnchor="text" w:hAnchor="text" w:xAlign="right"/>
      <w:spacing w:after="0" w:line="720" w:lineRule="exact"/>
      <w:textAlignment w:val="baseline"/>
    </w:pPr>
    <w:rPr>
      <w:rFonts w:cs="Guttman Soncino"/>
      <w:b/>
      <w:bCs/>
      <w:color w:val="808080"/>
      <w:position w:val="-5"/>
      <w:sz w:val="85"/>
      <w:szCs w:val="85"/>
    </w:rPr>
  </w:style>
  <w:style w:type="character" w:customStyle="1" w:styleId="a7">
    <w:name w:val="פתיח תו תו"/>
    <w:basedOn w:val="a0"/>
    <w:link w:val="a6"/>
    <w:rsid w:val="00B95210"/>
    <w:rPr>
      <w:rFonts w:ascii="Times New Roman" w:eastAsia="Times New Roman" w:hAnsi="Times New Roman" w:cs="Guttman Soncino"/>
      <w:b/>
      <w:bCs/>
      <w:color w:val="808080"/>
      <w:position w:val="-5"/>
      <w:sz w:val="85"/>
      <w:szCs w:val="85"/>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412</Words>
  <Characters>2061</Characters>
  <Application>Microsoft Office Word</Application>
  <DocSecurity>0</DocSecurity>
  <Lines>17</Lines>
  <Paragraphs>4</Paragraphs>
  <ScaleCrop>false</ScaleCrop>
  <Company/>
  <LinksUpToDate>false</LinksUpToDate>
  <CharactersWithSpaces>2469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2017-08-16T09:27:00Z</dcterms:created>
  <dcterms:modified xsi:type="dcterms:W3CDTF">2017-08-16T09:28:00Z</dcterms:modified>
</cp:coreProperties>
</file>