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EDE" w:rsidRDefault="004E6EDE" w:rsidP="004E6EDE">
      <w:pPr>
        <w:pStyle w:val="2"/>
        <w:rPr>
          <w:rFonts w:hint="cs"/>
          <w:rtl/>
        </w:rPr>
      </w:pPr>
      <w:r>
        <w:rPr>
          <w:rFonts w:hint="cs"/>
          <w:rtl/>
        </w:rPr>
        <w:t xml:space="preserve">"את לבבך ואת לבב" </w:t>
      </w:r>
      <w:r>
        <w:rPr>
          <w:rtl/>
        </w:rPr>
        <w:t>–</w:t>
      </w:r>
      <w:r>
        <w:rPr>
          <w:rFonts w:hint="cs"/>
          <w:rtl/>
        </w:rPr>
        <w:t xml:space="preserve"> </w:t>
      </w:r>
      <w:r>
        <w:rPr>
          <w:rtl/>
        </w:rPr>
        <w:br/>
      </w:r>
      <w:r>
        <w:rPr>
          <w:rFonts w:hint="cs"/>
          <w:rtl/>
        </w:rPr>
        <w:t>להחזיר את הסבלנות</w:t>
      </w:r>
    </w:p>
    <w:p w:rsidR="004E6EDE" w:rsidRPr="002E2CC9" w:rsidRDefault="004E6EDE" w:rsidP="004E6EDE">
      <w:pPr>
        <w:keepNext/>
        <w:framePr w:dropCap="drop" w:lines="2" w:hSpace="57" w:wrap="around" w:vAnchor="text" w:hAnchor="text" w:xAlign="right"/>
        <w:spacing w:after="0" w:line="760" w:lineRule="exact"/>
        <w:textAlignment w:val="baseline"/>
        <w:rPr>
          <w:rStyle w:val="a8"/>
          <w:rtl/>
        </w:rPr>
      </w:pPr>
      <w:r w:rsidRPr="002E2CC9">
        <w:rPr>
          <w:rStyle w:val="a8"/>
          <w:rFonts w:hint="cs"/>
          <w:rtl/>
        </w:rPr>
        <w:t>ה</w:t>
      </w:r>
    </w:p>
    <w:p w:rsidR="004E6EDE" w:rsidRDefault="004E6EDE" w:rsidP="004E6EDE">
      <w:pPr>
        <w:rPr>
          <w:rFonts w:hint="cs"/>
          <w:rtl/>
        </w:rPr>
      </w:pPr>
      <w:r>
        <w:rPr>
          <w:rFonts w:hint="cs"/>
          <w:rtl/>
        </w:rPr>
        <w:t xml:space="preserve">פסוק "ומל הוי' </w:t>
      </w:r>
      <w:proofErr w:type="spellStart"/>
      <w:r>
        <w:rPr>
          <w:rFonts w:hint="cs"/>
          <w:rtl/>
        </w:rPr>
        <w:t>אלהיך</w:t>
      </w:r>
      <w:proofErr w:type="spellEnd"/>
      <w:r>
        <w:rPr>
          <w:rFonts w:hint="cs"/>
          <w:rtl/>
        </w:rPr>
        <w:t xml:space="preserve"> את לבבך ואת לבב זרעך לאהבה את הוי' </w:t>
      </w:r>
      <w:proofErr w:type="spellStart"/>
      <w:r>
        <w:rPr>
          <w:rFonts w:hint="cs"/>
          <w:rtl/>
        </w:rPr>
        <w:t>אלהיך</w:t>
      </w:r>
      <w:proofErr w:type="spellEnd"/>
      <w:r>
        <w:rPr>
          <w:rFonts w:hint="cs"/>
          <w:rtl/>
        </w:rPr>
        <w:t xml:space="preserve"> בכל לבבך ובכל נפשך למען חייך"</w:t>
      </w:r>
      <w:r w:rsidRPr="008636EE">
        <w:rPr>
          <w:rStyle w:val="a5"/>
          <w:rtl/>
        </w:rPr>
        <w:endnoteReference w:id="1"/>
      </w:r>
      <w:r>
        <w:rPr>
          <w:rFonts w:hint="cs"/>
          <w:rtl/>
        </w:rPr>
        <w:t xml:space="preserve"> (בו יש </w:t>
      </w:r>
      <w:r w:rsidRPr="00006D77">
        <w:rPr>
          <w:rFonts w:hint="cs"/>
          <w:b/>
          <w:bCs/>
          <w:sz w:val="28"/>
          <w:szCs w:val="28"/>
          <w:rtl/>
        </w:rPr>
        <w:t>חי</w:t>
      </w:r>
      <w:r>
        <w:rPr>
          <w:rFonts w:hint="cs"/>
          <w:rtl/>
        </w:rPr>
        <w:t xml:space="preserve"> מילים ו-</w:t>
      </w:r>
      <w:r w:rsidRPr="00006D77">
        <w:rPr>
          <w:rFonts w:hint="cs"/>
          <w:b/>
          <w:bCs/>
          <w:sz w:val="28"/>
          <w:szCs w:val="28"/>
          <w:rtl/>
        </w:rPr>
        <w:t>אלול</w:t>
      </w:r>
      <w:r>
        <w:rPr>
          <w:rFonts w:hint="cs"/>
          <w:rtl/>
        </w:rPr>
        <w:t xml:space="preserve"> אותיות) מתאר את תיקון הלב ברמה הפנימית והעמוקה ביותר. כך מבואר</w:t>
      </w:r>
      <w:r w:rsidRPr="008636EE">
        <w:rPr>
          <w:rStyle w:val="a5"/>
          <w:rtl/>
        </w:rPr>
        <w:endnoteReference w:id="2"/>
      </w:r>
      <w:r>
        <w:rPr>
          <w:rFonts w:hint="cs"/>
          <w:rtl/>
        </w:rPr>
        <w:t xml:space="preserve"> כי האדם מסוגל למול בעצמו את הרע הגלוי של ערלת הלב הגסה, "ומלתם את ערלת לבבכם </w:t>
      </w:r>
      <w:proofErr w:type="spellStart"/>
      <w:r>
        <w:rPr>
          <w:rFonts w:hint="cs"/>
          <w:rtl/>
        </w:rPr>
        <w:t>וערפכם</w:t>
      </w:r>
      <w:proofErr w:type="spellEnd"/>
      <w:r>
        <w:rPr>
          <w:rFonts w:hint="cs"/>
          <w:rtl/>
        </w:rPr>
        <w:t xml:space="preserve"> לא תקשו עוד"</w:t>
      </w:r>
      <w:r w:rsidRPr="008636EE">
        <w:rPr>
          <w:rStyle w:val="a5"/>
          <w:rtl/>
        </w:rPr>
        <w:endnoteReference w:id="3"/>
      </w:r>
      <w:r>
        <w:rPr>
          <w:rFonts w:hint="cs"/>
          <w:rtl/>
        </w:rPr>
        <w:t xml:space="preserve">, אך את פריעת הקרום הדק, שהוא רע נעלם ולא-מודע, יכול למול עבורנו רק ה', "ומל הוי' </w:t>
      </w:r>
      <w:proofErr w:type="spellStart"/>
      <w:r>
        <w:rPr>
          <w:rFonts w:hint="cs"/>
          <w:rtl/>
        </w:rPr>
        <w:t>אלהיך</w:t>
      </w:r>
      <w:proofErr w:type="spellEnd"/>
      <w:r>
        <w:rPr>
          <w:rFonts w:hint="cs"/>
          <w:rtl/>
        </w:rPr>
        <w:t xml:space="preserve"> את לבבך ואת לבב זרעך". </w:t>
      </w:r>
    </w:p>
    <w:p w:rsidR="004E6EDE" w:rsidRDefault="004E6EDE" w:rsidP="004E6EDE">
      <w:pPr>
        <w:rPr>
          <w:rFonts w:hint="cs"/>
          <w:rtl/>
        </w:rPr>
      </w:pPr>
      <w:r>
        <w:rPr>
          <w:rFonts w:hint="cs"/>
          <w:rtl/>
        </w:rPr>
        <w:t>בחיי הנישואין רע גלוי מופיע בכל חיכוך, מריבה או פגיעה ר"ל. אפילו אם מקור אונאת הדברים הוא לא-מודע יחסית</w:t>
      </w:r>
      <w:bookmarkStart w:id="0" w:name="_Ref300011729"/>
      <w:r w:rsidRPr="008636EE">
        <w:rPr>
          <w:rStyle w:val="a5"/>
          <w:rtl/>
        </w:rPr>
        <w:endnoteReference w:id="4"/>
      </w:r>
      <w:bookmarkEnd w:id="0"/>
      <w:r>
        <w:rPr>
          <w:rFonts w:hint="cs"/>
          <w:rtl/>
        </w:rPr>
        <w:t xml:space="preserve">, הרי שהביטוי שלו הוא רע גלוי ומוחשי. לכן נכון יותר לתאר את השגגה </w:t>
      </w:r>
      <w:proofErr w:type="spellStart"/>
      <w:r>
        <w:rPr>
          <w:rFonts w:hint="cs"/>
          <w:rtl/>
        </w:rPr>
        <w:t>כהסח</w:t>
      </w:r>
      <w:proofErr w:type="spellEnd"/>
      <w:r>
        <w:rPr>
          <w:rFonts w:hint="cs"/>
          <w:rtl/>
        </w:rPr>
        <w:t xml:space="preserve"> הדעת ממה שראוי היה לחשוב עליו </w:t>
      </w:r>
      <w:proofErr w:type="spellStart"/>
      <w:r>
        <w:rPr>
          <w:rFonts w:hint="cs"/>
          <w:rtl/>
        </w:rPr>
        <w:t>ולהזהר</w:t>
      </w:r>
      <w:proofErr w:type="spellEnd"/>
      <w:r>
        <w:rPr>
          <w:rFonts w:hint="cs"/>
          <w:rtl/>
        </w:rPr>
        <w:t xml:space="preserve"> ממנו, ולא כתופעה של רע נעלם המסתתר בעמקי הלא-מודע. הרע הנעלם בחיי הנישואין הינו עצם תחושת הנפרדות בין בני הזוג, כשבעומק הלב נשאר כל אחד שקוע באנוכיות שלו, וממילא נגוע באינטרסים קטנוניים ומונע על ידיהם. </w:t>
      </w:r>
    </w:p>
    <w:p w:rsidR="004E6EDE" w:rsidRDefault="004E6EDE" w:rsidP="004E6EDE">
      <w:pPr>
        <w:rPr>
          <w:rFonts w:hint="cs"/>
          <w:rtl/>
        </w:rPr>
      </w:pPr>
      <w:r>
        <w:rPr>
          <w:rFonts w:hint="cs"/>
          <w:rtl/>
        </w:rPr>
        <w:t>יסוד שלום הבית הוא מדת "ארך אפים"</w:t>
      </w:r>
      <w:r w:rsidRPr="008636EE">
        <w:rPr>
          <w:rStyle w:val="a5"/>
          <w:rtl/>
        </w:rPr>
        <w:endnoteReference w:id="5"/>
      </w:r>
      <w:r>
        <w:rPr>
          <w:rFonts w:hint="cs"/>
          <w:rtl/>
        </w:rPr>
        <w:t>, המשרה אוירה טובה על הבית כולו</w:t>
      </w:r>
      <w:r w:rsidRPr="008636EE">
        <w:rPr>
          <w:rStyle w:val="a5"/>
          <w:rtl/>
        </w:rPr>
        <w:endnoteReference w:id="6"/>
      </w:r>
      <w:r>
        <w:rPr>
          <w:rFonts w:hint="cs"/>
          <w:rtl/>
        </w:rPr>
        <w:t xml:space="preserve">. לעומת זאת, ביטויה של האנוכיות הנסתרת הוא חוסר סבלנות כלפי בן הזוג. כאשר כל אחד חש צורך לשמור על המרחב האישי שלו ('ספייס' </w:t>
      </w:r>
      <w:proofErr w:type="spellStart"/>
      <w:r>
        <w:rPr>
          <w:rFonts w:hint="cs"/>
          <w:rtl/>
        </w:rPr>
        <w:t>בלע"ז</w:t>
      </w:r>
      <w:proofErr w:type="spellEnd"/>
      <w:r>
        <w:rPr>
          <w:rFonts w:hint="cs"/>
          <w:rtl/>
        </w:rPr>
        <w:t xml:space="preserve">) הוא מרגיש חוסר סבלנות כלפי מי שחודר למרחב שלו ומאיים על הפרטיות הנפרדת שלו (כפי שמתאר הרבי </w:t>
      </w:r>
      <w:proofErr w:type="spellStart"/>
      <w:r>
        <w:rPr>
          <w:rFonts w:hint="cs"/>
          <w:rtl/>
        </w:rPr>
        <w:t>הרש"ב</w:t>
      </w:r>
      <w:proofErr w:type="spellEnd"/>
      <w:r w:rsidRPr="008636EE">
        <w:rPr>
          <w:rStyle w:val="a5"/>
          <w:rtl/>
        </w:rPr>
        <w:endnoteReference w:id="7"/>
      </w:r>
      <w:r>
        <w:rPr>
          <w:rFonts w:hint="cs"/>
          <w:rtl/>
        </w:rPr>
        <w:t xml:space="preserve"> את ענינה של שנאת חנם </w:t>
      </w:r>
      <w:r>
        <w:rPr>
          <w:rtl/>
        </w:rPr>
        <w:t>–</w:t>
      </w:r>
      <w:r>
        <w:rPr>
          <w:rFonts w:hint="cs"/>
          <w:rtl/>
        </w:rPr>
        <w:t xml:space="preserve"> שנאה למי שנכנס לחדר בו האדם יושב לבדו, ובעצם הכניסה שלו 'דוחק' את ישותו של היושב בחדר). לחוסר הסבלנות אין בהכרח גילוי חיצוני, פעמים שאין הוא מודע לזולת ויש שגם האדם עצמו לא שם אליו לב, אך במשך הזמן מצטברת תחושת חוסר הסבלנות וגורמת </w:t>
      </w:r>
      <w:r>
        <w:rPr>
          <w:rFonts w:hint="cs"/>
          <w:rtl/>
        </w:rPr>
        <w:lastRenderedPageBreak/>
        <w:t xml:space="preserve">נזקים גדולים. מי שמתייחסים אליו בחוסר סבלנות, גם אם לא נאמרת מילה שלילית, מתאכזב מבן זוגו וחש כי הוא אטום ומנוכר כלפיו. אט אט </w:t>
      </w:r>
      <w:proofErr w:type="spellStart"/>
      <w:r>
        <w:rPr>
          <w:rFonts w:hint="cs"/>
          <w:rtl/>
        </w:rPr>
        <w:t>האוירה</w:t>
      </w:r>
      <w:proofErr w:type="spellEnd"/>
      <w:r>
        <w:rPr>
          <w:rFonts w:hint="cs"/>
          <w:rtl/>
        </w:rPr>
        <w:t xml:space="preserve"> בין בני הזוג נעכרת ומגיעים למצב שבו כבר לא הכי נעים וטוב להיות ביחד, </w:t>
      </w:r>
      <w:proofErr w:type="spellStart"/>
      <w:r>
        <w:rPr>
          <w:rFonts w:hint="cs"/>
          <w:rtl/>
        </w:rPr>
        <w:t>ה"י</w:t>
      </w:r>
      <w:proofErr w:type="spellEnd"/>
      <w:r>
        <w:rPr>
          <w:rFonts w:hint="cs"/>
          <w:rtl/>
        </w:rPr>
        <w:t>.</w:t>
      </w:r>
    </w:p>
    <w:p w:rsidR="004E6EDE" w:rsidRDefault="004E6EDE" w:rsidP="004E6EDE">
      <w:pPr>
        <w:rPr>
          <w:rFonts w:hint="cs"/>
          <w:rtl/>
        </w:rPr>
      </w:pPr>
      <w:r>
        <w:rPr>
          <w:rFonts w:hint="cs"/>
          <w:rtl/>
        </w:rPr>
        <w:t xml:space="preserve">לעתים חושבים שצער ונזק נפשי נגרם לילדים רק כאשר יש מריבות גלויות בין ההורים, כאשר הם שומעים מילים קשות מוטחות או נחשפים ליחס גלוי של זלזול וניכור. אמנם, ילדים רגישים הרבה יותר גם למה שנעשה בין ההורים בחדרי חדרים ואף בתחום הלא-מודע של הנפש, ושדרים של חוסר סבלנות גורמים לילדים משקעים ונזק נפשי עד שהפסוק צריך להבטיח שעם מילת לב ההורים יתוקן גם הנזק המצטבר אצל הילדים </w:t>
      </w:r>
      <w:r>
        <w:rPr>
          <w:rtl/>
        </w:rPr>
        <w:t>–</w:t>
      </w:r>
      <w:r>
        <w:rPr>
          <w:rFonts w:hint="cs"/>
          <w:rtl/>
        </w:rPr>
        <w:t xml:space="preserve"> "ומל הוי' </w:t>
      </w:r>
      <w:proofErr w:type="spellStart"/>
      <w:r>
        <w:rPr>
          <w:rFonts w:hint="cs"/>
          <w:rtl/>
        </w:rPr>
        <w:t>אלהיך</w:t>
      </w:r>
      <w:proofErr w:type="spellEnd"/>
      <w:r>
        <w:rPr>
          <w:rFonts w:hint="cs"/>
          <w:rtl/>
        </w:rPr>
        <w:t xml:space="preserve"> את לבבך ואת לבב זרעך" [חשוב לציין כי גם בתחום זה "מרובה מדה טובה"</w:t>
      </w:r>
      <w:r w:rsidRPr="008636EE">
        <w:rPr>
          <w:rStyle w:val="a5"/>
          <w:rtl/>
        </w:rPr>
        <w:endnoteReference w:id="8"/>
      </w:r>
      <w:r>
        <w:rPr>
          <w:rFonts w:hint="cs"/>
          <w:rtl/>
        </w:rPr>
        <w:t>: ילדים חשים היטב את האהבה בין הוריהם, אף אם ביטוייה מוצנעים ביותר. כל תחום הקשר הנסתר בין ההורים משפיע על הילדים באופן לא-מודע, וככל שמטיבים ומקדשים אותו הוא מעדן את לבושי הנפש של הילדים</w:t>
      </w:r>
      <w:r w:rsidRPr="008636EE">
        <w:rPr>
          <w:rStyle w:val="a5"/>
          <w:rtl/>
        </w:rPr>
        <w:endnoteReference w:id="9"/>
      </w:r>
      <w:r>
        <w:rPr>
          <w:rFonts w:hint="cs"/>
          <w:rtl/>
        </w:rPr>
        <w:t xml:space="preserve"> ומצמיח אותם בבריאות נפשית איתנה].</w:t>
      </w:r>
    </w:p>
    <w:p w:rsidR="004E6EDE" w:rsidRDefault="004E6EDE" w:rsidP="004E6EDE">
      <w:pPr>
        <w:rPr>
          <w:rFonts w:hint="cs"/>
          <w:rtl/>
        </w:rPr>
      </w:pPr>
      <w:r>
        <w:rPr>
          <w:rFonts w:hint="cs"/>
          <w:rtl/>
        </w:rPr>
        <w:t>את נטית האונאה הנמצאת על סף המודעות מסוגלת לתקן התורה</w:t>
      </w:r>
      <w:r w:rsidRPr="00424EFC">
        <w:rPr>
          <w:rStyle w:val="a6"/>
          <w:rtl/>
        </w:rPr>
        <w:fldChar w:fldCharType="begin"/>
      </w:r>
      <w:r w:rsidRPr="00424EFC">
        <w:rPr>
          <w:rStyle w:val="a6"/>
          <w:rtl/>
        </w:rPr>
        <w:instrText xml:space="preserve"> </w:instrText>
      </w:r>
      <w:r w:rsidRPr="00424EFC">
        <w:rPr>
          <w:rStyle w:val="a6"/>
          <w:rFonts w:hint="cs"/>
        </w:rPr>
        <w:instrText>NOTEREF</w:instrText>
      </w:r>
      <w:r w:rsidRPr="00424EFC">
        <w:rPr>
          <w:rStyle w:val="a6"/>
          <w:rFonts w:hint="cs"/>
          <w:rtl/>
        </w:rPr>
        <w:instrText xml:space="preserve"> _</w:instrText>
      </w:r>
      <w:r w:rsidRPr="00424EFC">
        <w:rPr>
          <w:rStyle w:val="a6"/>
          <w:rFonts w:hint="cs"/>
        </w:rPr>
        <w:instrText>Ref300011729 \h</w:instrText>
      </w:r>
      <w:r w:rsidRPr="00424EFC">
        <w:rPr>
          <w:rStyle w:val="a6"/>
          <w:rtl/>
        </w:rPr>
        <w:instrText xml:space="preserve"> </w:instrText>
      </w:r>
      <w:r w:rsidRPr="00424EFC">
        <w:rPr>
          <w:rStyle w:val="a6"/>
        </w:rPr>
      </w:r>
      <w:r>
        <w:rPr>
          <w:rStyle w:val="a6"/>
        </w:rPr>
        <w:instrText xml:space="preserve"> \* MERGEFORMAT </w:instrText>
      </w:r>
      <w:r w:rsidRPr="00424EFC">
        <w:rPr>
          <w:rStyle w:val="a6"/>
          <w:rtl/>
        </w:rPr>
        <w:fldChar w:fldCharType="separate"/>
      </w:r>
      <w:r>
        <w:rPr>
          <w:rStyle w:val="a6"/>
          <w:rtl/>
        </w:rPr>
        <w:t>ד</w:t>
      </w:r>
      <w:r w:rsidRPr="00424EFC">
        <w:rPr>
          <w:rStyle w:val="a6"/>
          <w:rtl/>
        </w:rPr>
        <w:fldChar w:fldCharType="end"/>
      </w:r>
      <w:r>
        <w:rPr>
          <w:rFonts w:hint="cs"/>
          <w:rtl/>
        </w:rPr>
        <w:t xml:space="preserve">, המפתחת ומחדדת את הרגישות הנכונה, אך כדי לתקן את חוסר הסבלנות הנעלם שבלב זקוקים </w:t>
      </w:r>
      <w:proofErr w:type="spellStart"/>
      <w:r>
        <w:rPr>
          <w:rFonts w:hint="cs"/>
          <w:rtl/>
        </w:rPr>
        <w:t>לכחה</w:t>
      </w:r>
      <w:proofErr w:type="spellEnd"/>
      <w:r>
        <w:rPr>
          <w:rFonts w:hint="cs"/>
          <w:rtl/>
        </w:rPr>
        <w:t xml:space="preserve"> של התשובה (הרמוזה בעבודת </w:t>
      </w:r>
      <w:r w:rsidRPr="00661107">
        <w:rPr>
          <w:rFonts w:hint="cs"/>
          <w:b/>
          <w:bCs/>
          <w:sz w:val="28"/>
          <w:szCs w:val="28"/>
          <w:rtl/>
        </w:rPr>
        <w:t>אלול</w:t>
      </w:r>
      <w:r>
        <w:rPr>
          <w:rFonts w:hint="cs"/>
          <w:rtl/>
        </w:rPr>
        <w:t xml:space="preserve"> בפסוק "</w:t>
      </w:r>
      <w:r w:rsidRPr="00661107">
        <w:rPr>
          <w:rFonts w:hint="cs"/>
          <w:b/>
          <w:bCs/>
          <w:sz w:val="28"/>
          <w:szCs w:val="28"/>
          <w:rtl/>
        </w:rPr>
        <w:t>א</w:t>
      </w:r>
      <w:r>
        <w:rPr>
          <w:rFonts w:hint="cs"/>
          <w:rtl/>
        </w:rPr>
        <w:t xml:space="preserve">ת </w:t>
      </w:r>
      <w:r w:rsidRPr="00661107">
        <w:rPr>
          <w:rFonts w:hint="cs"/>
          <w:b/>
          <w:bCs/>
          <w:sz w:val="28"/>
          <w:szCs w:val="28"/>
          <w:rtl/>
        </w:rPr>
        <w:t>ל</w:t>
      </w:r>
      <w:r>
        <w:rPr>
          <w:rFonts w:hint="cs"/>
          <w:rtl/>
        </w:rPr>
        <w:t xml:space="preserve">בבך </w:t>
      </w:r>
      <w:r w:rsidRPr="00661107">
        <w:rPr>
          <w:rFonts w:hint="cs"/>
          <w:b/>
          <w:bCs/>
          <w:sz w:val="28"/>
          <w:szCs w:val="28"/>
          <w:rtl/>
        </w:rPr>
        <w:t>ו</w:t>
      </w:r>
      <w:r>
        <w:rPr>
          <w:rFonts w:hint="cs"/>
          <w:rtl/>
        </w:rPr>
        <w:t xml:space="preserve">את </w:t>
      </w:r>
      <w:r w:rsidRPr="00661107">
        <w:rPr>
          <w:rFonts w:hint="cs"/>
          <w:b/>
          <w:bCs/>
          <w:sz w:val="28"/>
          <w:szCs w:val="28"/>
          <w:rtl/>
        </w:rPr>
        <w:t>ל</w:t>
      </w:r>
      <w:r>
        <w:rPr>
          <w:rFonts w:hint="cs"/>
          <w:rtl/>
        </w:rPr>
        <w:t>בב"</w:t>
      </w:r>
      <w:r w:rsidRPr="008636EE">
        <w:rPr>
          <w:rStyle w:val="a5"/>
          <w:rtl/>
        </w:rPr>
        <w:endnoteReference w:id="10"/>
      </w:r>
      <w:r>
        <w:rPr>
          <w:rFonts w:hint="cs"/>
          <w:rtl/>
        </w:rPr>
        <w:t xml:space="preserve">). בעוד ש"שאלו לתורה, חוטא מה ענשו? אמרה, יביא </w:t>
      </w:r>
      <w:r w:rsidRPr="00AC5794">
        <w:rPr>
          <w:rFonts w:hint="cs"/>
          <w:rtl/>
        </w:rPr>
        <w:t xml:space="preserve">אשם ויתכפר לו" הרי שכחה של תשובה הוא </w:t>
      </w:r>
      <w:proofErr w:type="spellStart"/>
      <w:r w:rsidRPr="00AC5794">
        <w:rPr>
          <w:rFonts w:hint="cs"/>
          <w:rtl/>
        </w:rPr>
        <w:t>כחו</w:t>
      </w:r>
      <w:proofErr w:type="spellEnd"/>
      <w:r w:rsidRPr="00AC5794">
        <w:rPr>
          <w:rFonts w:hint="cs"/>
          <w:rtl/>
        </w:rPr>
        <w:t xml:space="preserve"> של ה' עצמו, המל את הלב מהרע הנעלם </w:t>
      </w:r>
      <w:r w:rsidRPr="00AC5794">
        <w:rPr>
          <w:rtl/>
        </w:rPr>
        <w:t>–</w:t>
      </w:r>
      <w:r w:rsidRPr="00AC5794">
        <w:rPr>
          <w:rFonts w:hint="cs"/>
          <w:rtl/>
        </w:rPr>
        <w:t xml:space="preserve"> "שאלו לקדוש ברוך הוא, חוטא מה ענשו? אמר, יעשה תשובה ויתכפר לו"</w:t>
      </w:r>
      <w:r w:rsidRPr="008636EE">
        <w:rPr>
          <w:rStyle w:val="a5"/>
          <w:rtl/>
        </w:rPr>
        <w:endnoteReference w:id="11"/>
      </w:r>
      <w:r>
        <w:rPr>
          <w:rFonts w:hint="cs"/>
          <w:rtl/>
        </w:rPr>
        <w:t>.</w:t>
      </w:r>
    </w:p>
    <w:p w:rsidR="004E6EDE" w:rsidRPr="00AC5794" w:rsidRDefault="004E6EDE" w:rsidP="004E6EDE">
      <w:pPr>
        <w:rPr>
          <w:rFonts w:hint="cs"/>
          <w:rtl/>
        </w:rPr>
      </w:pPr>
      <w:r w:rsidRPr="00AC5794">
        <w:rPr>
          <w:rFonts w:hint="cs"/>
          <w:rtl/>
        </w:rPr>
        <w:t>הנביאים מתארים</w:t>
      </w:r>
      <w:r w:rsidRPr="008636EE">
        <w:rPr>
          <w:rStyle w:val="a5"/>
          <w:rtl/>
        </w:rPr>
        <w:endnoteReference w:id="12"/>
      </w:r>
      <w:r w:rsidRPr="00AC5794">
        <w:rPr>
          <w:rFonts w:hint="cs"/>
          <w:rtl/>
        </w:rPr>
        <w:t xml:space="preserve"> את תהליך התשובה של עם ישראל לה' כאשה השבה לבעלה לאחר התרחקות ממנו והתקשרות לאחרים (וכשהאדם דואג ל'ספייס' העצמי, התקשרותו היתרה לעצמו היא הגורמת את הריחוק). כמובן, בחיי הנישואין כל אחד מבני הזוג יכול להיות מי שיזם את הריחוק (ולאו דווקא </w:t>
      </w:r>
      <w:proofErr w:type="spellStart"/>
      <w:r w:rsidRPr="00AC5794">
        <w:rPr>
          <w:rFonts w:hint="cs"/>
          <w:rtl/>
        </w:rPr>
        <w:t>האשה</w:t>
      </w:r>
      <w:proofErr w:type="spellEnd"/>
      <w:r w:rsidRPr="00AC5794">
        <w:rPr>
          <w:rFonts w:hint="cs"/>
          <w:rtl/>
        </w:rPr>
        <w:t xml:space="preserve">), אך לתהליך התשובה צריכים להיות שותפים שני בני הזוג, שהרי גם מי שנפגע מהריחוק קיים בעצמו "אם תעזבני יום </w:t>
      </w:r>
      <w:proofErr w:type="spellStart"/>
      <w:r w:rsidRPr="00AC5794">
        <w:rPr>
          <w:rFonts w:hint="cs"/>
          <w:rtl/>
        </w:rPr>
        <w:t>יומים</w:t>
      </w:r>
      <w:proofErr w:type="spellEnd"/>
      <w:r w:rsidRPr="00AC5794">
        <w:rPr>
          <w:rFonts w:hint="cs"/>
          <w:rtl/>
        </w:rPr>
        <w:t xml:space="preserve"> אעזבך"</w:t>
      </w:r>
      <w:r w:rsidRPr="008636EE">
        <w:rPr>
          <w:rStyle w:val="a5"/>
          <w:rtl/>
        </w:rPr>
        <w:endnoteReference w:id="13"/>
      </w:r>
      <w:r w:rsidRPr="00AC5794">
        <w:rPr>
          <w:rFonts w:hint="cs"/>
          <w:rtl/>
        </w:rPr>
        <w:t xml:space="preserve">. </w:t>
      </w:r>
    </w:p>
    <w:p w:rsidR="004E6EDE" w:rsidRPr="00AC5794" w:rsidRDefault="004E6EDE" w:rsidP="004E6EDE">
      <w:pPr>
        <w:rPr>
          <w:rFonts w:hint="cs"/>
          <w:rtl/>
        </w:rPr>
      </w:pPr>
      <w:r w:rsidRPr="00AC5794">
        <w:rPr>
          <w:rFonts w:hint="cs"/>
          <w:rtl/>
        </w:rPr>
        <w:lastRenderedPageBreak/>
        <w:t xml:space="preserve">חיפוש סיפוק מידי אחרים נובע מתוך חוסר סבלנות לבן הזוג, הדורש יחס והשקעה כדי </w:t>
      </w:r>
      <w:proofErr w:type="spellStart"/>
      <w:r w:rsidRPr="00AC5794">
        <w:rPr>
          <w:rFonts w:hint="cs"/>
          <w:rtl/>
        </w:rPr>
        <w:t>להנות</w:t>
      </w:r>
      <w:proofErr w:type="spellEnd"/>
      <w:r w:rsidRPr="00AC5794">
        <w:rPr>
          <w:rFonts w:hint="cs"/>
          <w:rtl/>
        </w:rPr>
        <w:t xml:space="preserve"> מפרותיו המתוקים, והתשובה על כך צריכה להיות בסוד "כתר לי זעיר"</w:t>
      </w:r>
      <w:r w:rsidRPr="008636EE">
        <w:rPr>
          <w:rStyle w:val="a5"/>
          <w:rtl/>
        </w:rPr>
        <w:endnoteReference w:id="14"/>
      </w:r>
      <w:r w:rsidRPr="00AC5794">
        <w:rPr>
          <w:rFonts w:hint="cs"/>
          <w:rtl/>
        </w:rPr>
        <w:t xml:space="preserve"> (המדרגה העליונה של הכתר</w:t>
      </w:r>
      <w:r w:rsidRPr="008636EE">
        <w:rPr>
          <w:rStyle w:val="a5"/>
          <w:rtl/>
        </w:rPr>
        <w:endnoteReference w:id="15"/>
      </w:r>
      <w:r w:rsidRPr="00AC5794">
        <w:rPr>
          <w:rFonts w:hint="cs"/>
          <w:rtl/>
        </w:rPr>
        <w:t xml:space="preserve">). כשם </w:t>
      </w:r>
      <w:proofErr w:type="spellStart"/>
      <w:r w:rsidRPr="00AC5794">
        <w:rPr>
          <w:rFonts w:hint="cs"/>
          <w:rtl/>
        </w:rPr>
        <w:t>שה"בא</w:t>
      </w:r>
      <w:proofErr w:type="spellEnd"/>
      <w:r w:rsidRPr="00AC5794">
        <w:rPr>
          <w:rFonts w:hint="cs"/>
          <w:rtl/>
        </w:rPr>
        <w:t xml:space="preserve"> </w:t>
      </w:r>
      <w:proofErr w:type="spellStart"/>
      <w:r w:rsidRPr="00AC5794">
        <w:rPr>
          <w:rFonts w:hint="cs"/>
          <w:rtl/>
        </w:rPr>
        <w:t>ליטהר</w:t>
      </w:r>
      <w:proofErr w:type="spellEnd"/>
      <w:r w:rsidRPr="00AC5794">
        <w:rPr>
          <w:rFonts w:hint="cs"/>
          <w:rtl/>
        </w:rPr>
        <w:t>" צריך להמתין קמעא</w:t>
      </w:r>
      <w:r w:rsidRPr="008636EE">
        <w:rPr>
          <w:rStyle w:val="a5"/>
          <w:rtl/>
        </w:rPr>
        <w:endnoteReference w:id="16"/>
      </w:r>
      <w:r w:rsidRPr="00AC5794">
        <w:rPr>
          <w:rFonts w:hint="cs"/>
          <w:rtl/>
        </w:rPr>
        <w:t xml:space="preserve"> כך כאשר רוצים לשוב אל בן הזוג כלפיו נהגו בחוסר סבלנות יש להתאזר במתינות וסבלנות עד שישתקם האמון ותשוב האהבה כבראשונה. סבלנות זו עצמה מעידה עד כמה חשוב בעיני השב הקשר העצמי והבלעדי עם בן זוגו האמתי, כאשר למענו הוא מוכן לוותר על מילוי צרכיו החיצוניים וההגנה על המרחב האישי שלו, ובן זוגו עצמו יקר בעיניו יותר מכל</w:t>
      </w:r>
      <w:r w:rsidRPr="008636EE">
        <w:rPr>
          <w:rStyle w:val="a5"/>
          <w:rtl/>
        </w:rPr>
        <w:endnoteReference w:id="17"/>
      </w:r>
      <w:r w:rsidRPr="00AC5794">
        <w:rPr>
          <w:rFonts w:hint="cs"/>
          <w:rtl/>
        </w:rPr>
        <w:t xml:space="preserve"> </w:t>
      </w:r>
      <w:r w:rsidRPr="00AC5794">
        <w:rPr>
          <w:rtl/>
        </w:rPr>
        <w:t>–</w:t>
      </w:r>
      <w:r w:rsidRPr="00AC5794">
        <w:rPr>
          <w:rFonts w:hint="cs"/>
          <w:rtl/>
        </w:rPr>
        <w:t xml:space="preserve"> "אנא </w:t>
      </w:r>
      <w:proofErr w:type="spellStart"/>
      <w:r w:rsidRPr="00AC5794">
        <w:rPr>
          <w:rFonts w:hint="cs"/>
          <w:rtl/>
        </w:rPr>
        <w:t>נסיב</w:t>
      </w:r>
      <w:proofErr w:type="spellEnd"/>
      <w:r w:rsidRPr="00AC5794">
        <w:rPr>
          <w:rFonts w:hint="cs"/>
          <w:rtl/>
        </w:rPr>
        <w:t xml:space="preserve"> </w:t>
      </w:r>
      <w:proofErr w:type="spellStart"/>
      <w:r w:rsidRPr="00AC5794">
        <w:rPr>
          <w:rFonts w:hint="cs"/>
          <w:rtl/>
        </w:rPr>
        <w:t>מלכא</w:t>
      </w:r>
      <w:proofErr w:type="spellEnd"/>
      <w:r w:rsidRPr="00AC5794">
        <w:rPr>
          <w:rFonts w:hint="cs"/>
          <w:rtl/>
        </w:rPr>
        <w:t>"</w:t>
      </w:r>
      <w:r w:rsidRPr="008636EE">
        <w:rPr>
          <w:rStyle w:val="a5"/>
          <w:rtl/>
        </w:rPr>
        <w:endnoteReference w:id="18"/>
      </w:r>
      <w:r w:rsidRPr="00AC5794">
        <w:rPr>
          <w:rFonts w:hint="cs"/>
          <w:rtl/>
        </w:rPr>
        <w:t>.</w:t>
      </w:r>
    </w:p>
    <w:p w:rsidR="005F4A47" w:rsidRPr="004E6EDE" w:rsidRDefault="00A96E10" w:rsidP="004E6EDE">
      <w:bookmarkStart w:id="1" w:name="_GoBack"/>
      <w:bookmarkEnd w:id="1"/>
    </w:p>
    <w:sectPr w:rsidR="005F4A47" w:rsidRPr="004E6EDE"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E10" w:rsidRDefault="00A96E10" w:rsidP="00FE73A5">
      <w:pPr>
        <w:spacing w:after="0" w:line="240" w:lineRule="auto"/>
      </w:pPr>
      <w:r>
        <w:separator/>
      </w:r>
    </w:p>
  </w:endnote>
  <w:endnote w:type="continuationSeparator" w:id="0">
    <w:p w:rsidR="00A96E10" w:rsidRDefault="00A96E10" w:rsidP="00FE73A5">
      <w:pPr>
        <w:spacing w:after="0" w:line="240" w:lineRule="auto"/>
      </w:pPr>
      <w:r>
        <w:continuationSeparator/>
      </w:r>
    </w:p>
  </w:endnote>
  <w:endnote w:id="1">
    <w:p w:rsidR="004E6EDE" w:rsidRDefault="004E6EDE" w:rsidP="004E6EDE">
      <w:pPr>
        <w:pStyle w:val="a3"/>
        <w:rPr>
          <w:rFonts w:hint="cs"/>
        </w:rPr>
      </w:pPr>
      <w:r>
        <w:rPr>
          <w:rtl/>
        </w:rPr>
        <w:tab/>
      </w:r>
      <w:r w:rsidRPr="00944A81">
        <w:rPr>
          <w:rtl/>
        </w:rPr>
        <w:endnoteRef/>
      </w:r>
      <w:r>
        <w:rPr>
          <w:rtl/>
        </w:rPr>
        <w:t>.</w:t>
      </w:r>
      <w:r>
        <w:rPr>
          <w:rtl/>
        </w:rPr>
        <w:tab/>
      </w:r>
      <w:r>
        <w:rPr>
          <w:rFonts w:hint="cs"/>
          <w:rtl/>
        </w:rPr>
        <w:t>דברים ל, ו.</w:t>
      </w:r>
    </w:p>
  </w:endnote>
  <w:endnote w:id="2">
    <w:p w:rsidR="004E6EDE" w:rsidRDefault="004E6EDE" w:rsidP="004E6EDE">
      <w:pPr>
        <w:pStyle w:val="a3"/>
        <w:rPr>
          <w:rFonts w:hint="cs"/>
        </w:rPr>
      </w:pPr>
      <w:r>
        <w:rPr>
          <w:rtl/>
        </w:rPr>
        <w:tab/>
      </w:r>
      <w:r w:rsidRPr="00944A81">
        <w:rPr>
          <w:rtl/>
        </w:rPr>
        <w:endnoteRef/>
      </w:r>
      <w:r>
        <w:rPr>
          <w:rtl/>
        </w:rPr>
        <w:t>.</w:t>
      </w:r>
      <w:r>
        <w:rPr>
          <w:rtl/>
        </w:rPr>
        <w:tab/>
      </w:r>
      <w:r>
        <w:rPr>
          <w:rFonts w:hint="cs"/>
          <w:rtl/>
        </w:rPr>
        <w:t xml:space="preserve">תניא </w:t>
      </w:r>
      <w:proofErr w:type="spellStart"/>
      <w:r>
        <w:rPr>
          <w:rFonts w:hint="cs"/>
          <w:rtl/>
        </w:rPr>
        <w:t>אגה"ק</w:t>
      </w:r>
      <w:proofErr w:type="spellEnd"/>
      <w:r>
        <w:rPr>
          <w:rFonts w:hint="cs"/>
          <w:rtl/>
        </w:rPr>
        <w:t xml:space="preserve"> ד (וראה לב לדעת "פרק בעבודת ה'" ביאור ג, עמ' </w:t>
      </w:r>
      <w:proofErr w:type="spellStart"/>
      <w:r>
        <w:rPr>
          <w:rFonts w:hint="cs"/>
          <w:rtl/>
        </w:rPr>
        <w:t>כו</w:t>
      </w:r>
      <w:proofErr w:type="spellEnd"/>
      <w:r>
        <w:rPr>
          <w:rFonts w:hint="cs"/>
          <w:rtl/>
        </w:rPr>
        <w:t>).</w:t>
      </w:r>
    </w:p>
  </w:endnote>
  <w:endnote w:id="3">
    <w:p w:rsidR="004E6EDE" w:rsidRDefault="004E6EDE" w:rsidP="004E6EDE">
      <w:pPr>
        <w:pStyle w:val="a3"/>
        <w:rPr>
          <w:rFonts w:hint="cs"/>
        </w:rPr>
      </w:pPr>
      <w:r>
        <w:rPr>
          <w:rtl/>
        </w:rPr>
        <w:tab/>
      </w:r>
      <w:r w:rsidRPr="00944A81">
        <w:rPr>
          <w:rtl/>
        </w:rPr>
        <w:endnoteRef/>
      </w:r>
      <w:r>
        <w:rPr>
          <w:rtl/>
        </w:rPr>
        <w:t>.</w:t>
      </w:r>
      <w:r>
        <w:rPr>
          <w:rtl/>
        </w:rPr>
        <w:tab/>
      </w:r>
      <w:r>
        <w:rPr>
          <w:rFonts w:hint="cs"/>
          <w:rtl/>
        </w:rPr>
        <w:t xml:space="preserve">דברים י, </w:t>
      </w:r>
      <w:proofErr w:type="spellStart"/>
      <w:r>
        <w:rPr>
          <w:rFonts w:hint="cs"/>
          <w:rtl/>
        </w:rPr>
        <w:t>טז</w:t>
      </w:r>
      <w:proofErr w:type="spellEnd"/>
      <w:r>
        <w:rPr>
          <w:rFonts w:hint="cs"/>
          <w:rtl/>
        </w:rPr>
        <w:t>.</w:t>
      </w:r>
    </w:p>
  </w:endnote>
  <w:endnote w:id="4">
    <w:p w:rsidR="004E6EDE" w:rsidRDefault="004E6EDE" w:rsidP="004E6EDE">
      <w:pPr>
        <w:pStyle w:val="a3"/>
        <w:rPr>
          <w:rFonts w:hint="cs"/>
          <w:rtl/>
        </w:rPr>
      </w:pPr>
      <w:r>
        <w:rPr>
          <w:rtl/>
        </w:rPr>
        <w:tab/>
      </w:r>
      <w:r w:rsidRPr="00944A81">
        <w:rPr>
          <w:rtl/>
        </w:rPr>
        <w:endnoteRef/>
      </w:r>
      <w:r>
        <w:rPr>
          <w:rtl/>
        </w:rPr>
        <w:t>.</w:t>
      </w:r>
      <w:r>
        <w:rPr>
          <w:rtl/>
        </w:rPr>
        <w:tab/>
      </w:r>
      <w:r>
        <w:rPr>
          <w:rFonts w:hint="cs"/>
          <w:rtl/>
        </w:rPr>
        <w:t>ראה בתורה הקודמת.</w:t>
      </w:r>
    </w:p>
  </w:endnote>
  <w:endnote w:id="5">
    <w:p w:rsidR="004E6EDE" w:rsidRDefault="004E6EDE" w:rsidP="004E6EDE">
      <w:pPr>
        <w:pStyle w:val="a3"/>
        <w:rPr>
          <w:rFonts w:hint="cs"/>
          <w:rtl/>
        </w:rPr>
      </w:pPr>
      <w:r>
        <w:rPr>
          <w:rtl/>
        </w:rPr>
        <w:tab/>
      </w:r>
      <w:r w:rsidRPr="00944A81">
        <w:rPr>
          <w:rtl/>
        </w:rPr>
        <w:endnoteRef/>
      </w:r>
      <w:r>
        <w:rPr>
          <w:rtl/>
        </w:rPr>
        <w:t>.</w:t>
      </w:r>
      <w:r>
        <w:rPr>
          <w:rtl/>
        </w:rPr>
        <w:tab/>
      </w:r>
      <w:r>
        <w:rPr>
          <w:rFonts w:hint="cs"/>
          <w:rtl/>
        </w:rPr>
        <w:t>שמות לד, ו ובכ"ד.</w:t>
      </w:r>
    </w:p>
  </w:endnote>
  <w:endnote w:id="6">
    <w:p w:rsidR="004E6EDE" w:rsidRDefault="004E6EDE" w:rsidP="004E6EDE">
      <w:pPr>
        <w:pStyle w:val="a3"/>
        <w:rPr>
          <w:rFonts w:hint="cs"/>
          <w:rtl/>
        </w:rPr>
      </w:pPr>
      <w:r>
        <w:rPr>
          <w:rtl/>
        </w:rPr>
        <w:tab/>
      </w:r>
      <w:r w:rsidRPr="00944A81">
        <w:rPr>
          <w:rtl/>
        </w:rPr>
        <w:endnoteRef/>
      </w:r>
      <w:r>
        <w:rPr>
          <w:rtl/>
        </w:rPr>
        <w:t>.</w:t>
      </w:r>
      <w:r>
        <w:rPr>
          <w:rtl/>
        </w:rPr>
        <w:tab/>
      </w:r>
      <w:r>
        <w:rPr>
          <w:rFonts w:hint="cs"/>
          <w:rtl/>
        </w:rPr>
        <w:t xml:space="preserve">ראה באריכות שכינה ביניהם פ"ה (בפרט שם מעמ' </w:t>
      </w:r>
      <w:proofErr w:type="spellStart"/>
      <w:r>
        <w:rPr>
          <w:rFonts w:hint="cs"/>
          <w:rtl/>
        </w:rPr>
        <w:t>קנד</w:t>
      </w:r>
      <w:proofErr w:type="spellEnd"/>
      <w:r>
        <w:rPr>
          <w:rFonts w:hint="cs"/>
          <w:rtl/>
        </w:rPr>
        <w:t xml:space="preserve"> ואילך) ומאמר "ארך אפים" בספר אשא עיני.</w:t>
      </w:r>
    </w:p>
  </w:endnote>
  <w:endnote w:id="7">
    <w:p w:rsidR="004E6EDE" w:rsidRDefault="004E6EDE" w:rsidP="004E6EDE">
      <w:pPr>
        <w:pStyle w:val="a3"/>
        <w:rPr>
          <w:rFonts w:hint="cs"/>
        </w:rPr>
      </w:pPr>
      <w:r>
        <w:rPr>
          <w:rtl/>
        </w:rPr>
        <w:tab/>
      </w:r>
      <w:r w:rsidRPr="00944A81">
        <w:rPr>
          <w:rtl/>
        </w:rPr>
        <w:endnoteRef/>
      </w:r>
      <w:r>
        <w:rPr>
          <w:rtl/>
        </w:rPr>
        <w:t>.</w:t>
      </w:r>
      <w:r>
        <w:rPr>
          <w:rtl/>
        </w:rPr>
        <w:tab/>
      </w:r>
      <w:r>
        <w:rPr>
          <w:rFonts w:hint="cs"/>
          <w:rtl/>
        </w:rPr>
        <w:t>ראה קונטרס "</w:t>
      </w:r>
      <w:proofErr w:type="spellStart"/>
      <w:r>
        <w:rPr>
          <w:rFonts w:hint="cs"/>
          <w:rtl/>
        </w:rPr>
        <w:t>החלצו</w:t>
      </w:r>
      <w:proofErr w:type="spellEnd"/>
      <w:r>
        <w:rPr>
          <w:rFonts w:hint="cs"/>
          <w:rtl/>
        </w:rPr>
        <w:t>" תרנ"ט (בפרט שם פרקים ד ו-ח).</w:t>
      </w:r>
    </w:p>
  </w:endnote>
  <w:endnote w:id="8">
    <w:p w:rsidR="004E6EDE" w:rsidRDefault="004E6EDE" w:rsidP="004E6EDE">
      <w:pPr>
        <w:pStyle w:val="a3"/>
        <w:rPr>
          <w:rFonts w:hint="cs"/>
        </w:rPr>
      </w:pPr>
      <w:r>
        <w:rPr>
          <w:rtl/>
        </w:rPr>
        <w:tab/>
      </w:r>
      <w:r w:rsidRPr="00944A81">
        <w:rPr>
          <w:rtl/>
        </w:rPr>
        <w:endnoteRef/>
      </w:r>
      <w:r>
        <w:rPr>
          <w:rtl/>
        </w:rPr>
        <w:t>.</w:t>
      </w:r>
      <w:r>
        <w:rPr>
          <w:rtl/>
        </w:rPr>
        <w:tab/>
      </w:r>
      <w:r>
        <w:rPr>
          <w:rFonts w:hint="cs"/>
          <w:rtl/>
        </w:rPr>
        <w:t xml:space="preserve">ראה סנהדרין ק, א </w:t>
      </w:r>
      <w:proofErr w:type="spellStart"/>
      <w:r>
        <w:rPr>
          <w:rFonts w:hint="cs"/>
          <w:rtl/>
        </w:rPr>
        <w:t>וש"נ</w:t>
      </w:r>
      <w:proofErr w:type="spellEnd"/>
      <w:r>
        <w:rPr>
          <w:rFonts w:hint="cs"/>
          <w:rtl/>
        </w:rPr>
        <w:t>.</w:t>
      </w:r>
    </w:p>
  </w:endnote>
  <w:endnote w:id="9">
    <w:p w:rsidR="004E6EDE" w:rsidRDefault="004E6EDE" w:rsidP="004E6EDE">
      <w:pPr>
        <w:pStyle w:val="a3"/>
        <w:rPr>
          <w:rFonts w:hint="cs"/>
        </w:rPr>
      </w:pPr>
      <w:r>
        <w:rPr>
          <w:rtl/>
        </w:rPr>
        <w:tab/>
      </w:r>
      <w:r w:rsidRPr="00944A81">
        <w:rPr>
          <w:rtl/>
        </w:rPr>
        <w:endnoteRef/>
      </w:r>
      <w:r>
        <w:rPr>
          <w:rtl/>
        </w:rPr>
        <w:t>.</w:t>
      </w:r>
      <w:r>
        <w:rPr>
          <w:rtl/>
        </w:rPr>
        <w:tab/>
      </w:r>
      <w:r>
        <w:rPr>
          <w:rFonts w:hint="cs"/>
          <w:rtl/>
        </w:rPr>
        <w:t xml:space="preserve">ראה תניא </w:t>
      </w:r>
      <w:proofErr w:type="spellStart"/>
      <w:r>
        <w:rPr>
          <w:rFonts w:hint="cs"/>
          <w:rtl/>
        </w:rPr>
        <w:t>ספ"ב</w:t>
      </w:r>
      <w:proofErr w:type="spellEnd"/>
      <w:r>
        <w:rPr>
          <w:rFonts w:hint="cs"/>
          <w:rtl/>
        </w:rPr>
        <w:t xml:space="preserve"> ובספר שיעורים בסוד הוי' </w:t>
      </w:r>
      <w:proofErr w:type="spellStart"/>
      <w:r>
        <w:rPr>
          <w:rFonts w:hint="cs"/>
          <w:rtl/>
        </w:rPr>
        <w:t>ליראיו</w:t>
      </w:r>
      <w:proofErr w:type="spellEnd"/>
      <w:r>
        <w:rPr>
          <w:rFonts w:hint="cs"/>
          <w:rtl/>
        </w:rPr>
        <w:t xml:space="preserve"> ח"א עמ' </w:t>
      </w:r>
      <w:proofErr w:type="spellStart"/>
      <w:r>
        <w:rPr>
          <w:rFonts w:hint="cs"/>
          <w:rtl/>
        </w:rPr>
        <w:t>רטו</w:t>
      </w:r>
      <w:proofErr w:type="spellEnd"/>
      <w:r>
        <w:rPr>
          <w:rFonts w:hint="cs"/>
          <w:rtl/>
        </w:rPr>
        <w:t xml:space="preserve"> כי הדברים אמורים במשך כל החיים, ולא רק בזמן יצירת הולד או תקופת </w:t>
      </w:r>
      <w:proofErr w:type="spellStart"/>
      <w:r>
        <w:rPr>
          <w:rFonts w:hint="cs"/>
          <w:rtl/>
        </w:rPr>
        <w:t>ההריון</w:t>
      </w:r>
      <w:proofErr w:type="spellEnd"/>
      <w:r>
        <w:rPr>
          <w:rFonts w:hint="cs"/>
          <w:rtl/>
        </w:rPr>
        <w:t>.</w:t>
      </w:r>
    </w:p>
  </w:endnote>
  <w:endnote w:id="10">
    <w:p w:rsidR="004E6EDE" w:rsidRDefault="004E6EDE" w:rsidP="004E6EDE">
      <w:pPr>
        <w:pStyle w:val="a3"/>
        <w:rPr>
          <w:rFonts w:hint="cs"/>
          <w:rtl/>
        </w:rPr>
      </w:pPr>
      <w:r>
        <w:rPr>
          <w:rtl/>
        </w:rPr>
        <w:tab/>
      </w:r>
      <w:r w:rsidRPr="00944A81">
        <w:rPr>
          <w:rtl/>
        </w:rPr>
        <w:endnoteRef/>
      </w:r>
      <w:r>
        <w:rPr>
          <w:rtl/>
        </w:rPr>
        <w:t>.</w:t>
      </w:r>
      <w:r>
        <w:rPr>
          <w:rtl/>
        </w:rPr>
        <w:tab/>
      </w:r>
      <w:r>
        <w:rPr>
          <w:rFonts w:hint="cs"/>
          <w:rtl/>
        </w:rPr>
        <w:t xml:space="preserve">ראה בעל הטורים עה"פ. </w:t>
      </w:r>
      <w:proofErr w:type="spellStart"/>
      <w:r>
        <w:rPr>
          <w:rFonts w:hint="cs"/>
          <w:rtl/>
        </w:rPr>
        <w:t>אבודרהם</w:t>
      </w:r>
      <w:proofErr w:type="spellEnd"/>
      <w:r>
        <w:rPr>
          <w:rFonts w:hint="cs"/>
          <w:rtl/>
        </w:rPr>
        <w:t xml:space="preserve"> סדר תפלת ר"ה. וראה לעיל בתורה הראשונה בשער זה, על פי לקו"ש ח"א עמ' 395 ואילך.</w:t>
      </w:r>
    </w:p>
  </w:endnote>
  <w:endnote w:id="11">
    <w:p w:rsidR="004E6EDE" w:rsidRDefault="004E6EDE" w:rsidP="004E6EDE">
      <w:pPr>
        <w:pStyle w:val="a3"/>
        <w:rPr>
          <w:rFonts w:hint="cs"/>
          <w:rtl/>
        </w:rPr>
      </w:pPr>
      <w:r>
        <w:rPr>
          <w:rtl/>
        </w:rPr>
        <w:tab/>
      </w:r>
      <w:r w:rsidRPr="00944A81">
        <w:rPr>
          <w:rtl/>
        </w:rPr>
        <w:endnoteRef/>
      </w:r>
      <w:r>
        <w:rPr>
          <w:rtl/>
        </w:rPr>
        <w:t>.</w:t>
      </w:r>
      <w:r>
        <w:rPr>
          <w:rtl/>
        </w:rPr>
        <w:tab/>
      </w:r>
      <w:r>
        <w:rPr>
          <w:rFonts w:hint="cs"/>
          <w:rtl/>
        </w:rPr>
        <w:t>ילקוט שמעוני יחזקאל רמז שנח.</w:t>
      </w:r>
    </w:p>
  </w:endnote>
  <w:endnote w:id="12">
    <w:p w:rsidR="004E6EDE" w:rsidRDefault="004E6EDE" w:rsidP="004E6EDE">
      <w:pPr>
        <w:pStyle w:val="a3"/>
        <w:rPr>
          <w:rFonts w:hint="cs"/>
          <w:rtl/>
        </w:rPr>
      </w:pPr>
      <w:r>
        <w:rPr>
          <w:rtl/>
        </w:rPr>
        <w:tab/>
      </w:r>
      <w:r w:rsidRPr="00944A81">
        <w:rPr>
          <w:rtl/>
        </w:rPr>
        <w:endnoteRef/>
      </w:r>
      <w:r>
        <w:rPr>
          <w:rtl/>
        </w:rPr>
        <w:t>.</w:t>
      </w:r>
      <w:r>
        <w:rPr>
          <w:rtl/>
        </w:rPr>
        <w:tab/>
      </w:r>
      <w:r>
        <w:rPr>
          <w:rFonts w:hint="cs"/>
          <w:rtl/>
        </w:rPr>
        <w:t xml:space="preserve">ראה ירמיה ג; הושע ב (בפרט פסוק </w:t>
      </w:r>
      <w:proofErr w:type="spellStart"/>
      <w:r>
        <w:rPr>
          <w:rFonts w:hint="cs"/>
          <w:rtl/>
        </w:rPr>
        <w:t>טז</w:t>
      </w:r>
      <w:proofErr w:type="spellEnd"/>
      <w:r>
        <w:rPr>
          <w:rFonts w:hint="cs"/>
          <w:rtl/>
        </w:rPr>
        <w:t xml:space="preserve"> ואילך), ובכ"ד.</w:t>
      </w:r>
    </w:p>
  </w:endnote>
  <w:endnote w:id="13">
    <w:p w:rsidR="004E6EDE" w:rsidRDefault="004E6EDE" w:rsidP="004E6EDE">
      <w:pPr>
        <w:pStyle w:val="a3"/>
        <w:rPr>
          <w:rFonts w:hint="cs"/>
          <w:rtl/>
        </w:rPr>
      </w:pPr>
      <w:r>
        <w:rPr>
          <w:rtl/>
        </w:rPr>
        <w:tab/>
      </w:r>
      <w:r w:rsidRPr="00944A81">
        <w:rPr>
          <w:rtl/>
        </w:rPr>
        <w:endnoteRef/>
      </w:r>
      <w:r>
        <w:rPr>
          <w:rtl/>
        </w:rPr>
        <w:t>.</w:t>
      </w:r>
      <w:r>
        <w:rPr>
          <w:rtl/>
        </w:rPr>
        <w:tab/>
      </w:r>
      <w:r>
        <w:rPr>
          <w:rFonts w:hint="cs"/>
          <w:rtl/>
        </w:rPr>
        <w:t xml:space="preserve">רש"י לדברים יא, </w:t>
      </w:r>
      <w:proofErr w:type="spellStart"/>
      <w:r>
        <w:rPr>
          <w:rFonts w:hint="cs"/>
          <w:rtl/>
        </w:rPr>
        <w:t>יג</w:t>
      </w:r>
      <w:proofErr w:type="spellEnd"/>
      <w:r>
        <w:rPr>
          <w:rFonts w:hint="cs"/>
          <w:rtl/>
        </w:rPr>
        <w:t xml:space="preserve"> (עפ"י ספרי עקב יא, </w:t>
      </w:r>
      <w:proofErr w:type="spellStart"/>
      <w:r>
        <w:rPr>
          <w:rFonts w:hint="cs"/>
          <w:rtl/>
        </w:rPr>
        <w:t>כב</w:t>
      </w:r>
      <w:proofErr w:type="spellEnd"/>
      <w:r>
        <w:rPr>
          <w:rFonts w:hint="cs"/>
          <w:rtl/>
        </w:rPr>
        <w:t xml:space="preserve">). ילקוט שמעוני דברים רמז </w:t>
      </w:r>
      <w:proofErr w:type="spellStart"/>
      <w:r>
        <w:rPr>
          <w:rFonts w:hint="cs"/>
          <w:rtl/>
        </w:rPr>
        <w:t>תתעג</w:t>
      </w:r>
      <w:proofErr w:type="spellEnd"/>
      <w:r>
        <w:rPr>
          <w:rFonts w:hint="cs"/>
          <w:rtl/>
        </w:rPr>
        <w:t>.</w:t>
      </w:r>
    </w:p>
  </w:endnote>
  <w:endnote w:id="14">
    <w:p w:rsidR="004E6EDE" w:rsidRDefault="004E6EDE" w:rsidP="004E6EDE">
      <w:pPr>
        <w:pStyle w:val="a3"/>
        <w:rPr>
          <w:rFonts w:hint="cs"/>
        </w:rPr>
      </w:pPr>
      <w:r>
        <w:rPr>
          <w:rtl/>
        </w:rPr>
        <w:tab/>
      </w:r>
      <w:r w:rsidRPr="00944A81">
        <w:rPr>
          <w:rtl/>
        </w:rPr>
        <w:endnoteRef/>
      </w:r>
      <w:r>
        <w:rPr>
          <w:rtl/>
        </w:rPr>
        <w:t>.</w:t>
      </w:r>
      <w:r>
        <w:rPr>
          <w:rtl/>
        </w:rPr>
        <w:tab/>
      </w:r>
      <w:r>
        <w:rPr>
          <w:rFonts w:hint="cs"/>
          <w:rtl/>
        </w:rPr>
        <w:t xml:space="preserve">איוב לו, ב. וראה </w:t>
      </w:r>
      <w:proofErr w:type="spellStart"/>
      <w:r>
        <w:rPr>
          <w:rFonts w:hint="cs"/>
          <w:rtl/>
        </w:rPr>
        <w:t>לקו"מ</w:t>
      </w:r>
      <w:proofErr w:type="spellEnd"/>
      <w:r>
        <w:rPr>
          <w:rFonts w:hint="cs"/>
          <w:rtl/>
        </w:rPr>
        <w:t xml:space="preserve"> ו, ב.</w:t>
      </w:r>
    </w:p>
  </w:endnote>
  <w:endnote w:id="15">
    <w:p w:rsidR="004E6EDE" w:rsidRDefault="004E6EDE" w:rsidP="004E6EDE">
      <w:pPr>
        <w:pStyle w:val="a3"/>
        <w:rPr>
          <w:rFonts w:hint="cs"/>
          <w:rtl/>
        </w:rPr>
      </w:pPr>
      <w:r>
        <w:rPr>
          <w:rtl/>
        </w:rPr>
        <w:tab/>
      </w:r>
      <w:r w:rsidRPr="00944A81">
        <w:rPr>
          <w:rtl/>
        </w:rPr>
        <w:endnoteRef/>
      </w:r>
      <w:r>
        <w:rPr>
          <w:rtl/>
        </w:rPr>
        <w:t>.</w:t>
      </w:r>
      <w:r>
        <w:rPr>
          <w:rtl/>
        </w:rPr>
        <w:tab/>
      </w:r>
      <w:r>
        <w:rPr>
          <w:rFonts w:hint="cs"/>
          <w:rtl/>
        </w:rPr>
        <w:t xml:space="preserve">כמבואר בארוכה בהמשך "בשעה שהקדימו" </w:t>
      </w:r>
      <w:proofErr w:type="spellStart"/>
      <w:r>
        <w:rPr>
          <w:rFonts w:hint="cs"/>
          <w:rtl/>
        </w:rPr>
        <w:t>תער"ב</w:t>
      </w:r>
      <w:proofErr w:type="spellEnd"/>
      <w:r>
        <w:rPr>
          <w:rFonts w:hint="cs"/>
          <w:rtl/>
        </w:rPr>
        <w:t>.</w:t>
      </w:r>
    </w:p>
  </w:endnote>
  <w:endnote w:id="16">
    <w:p w:rsidR="004E6EDE" w:rsidRDefault="004E6EDE" w:rsidP="004E6EDE">
      <w:pPr>
        <w:pStyle w:val="a3"/>
        <w:rPr>
          <w:rFonts w:hint="cs"/>
        </w:rPr>
      </w:pPr>
      <w:r>
        <w:rPr>
          <w:rtl/>
        </w:rPr>
        <w:tab/>
      </w:r>
      <w:r w:rsidRPr="00944A81">
        <w:rPr>
          <w:rtl/>
        </w:rPr>
        <w:endnoteRef/>
      </w:r>
      <w:r>
        <w:rPr>
          <w:rtl/>
        </w:rPr>
        <w:t>.</w:t>
      </w:r>
      <w:r>
        <w:rPr>
          <w:rtl/>
        </w:rPr>
        <w:tab/>
      </w:r>
      <w:r>
        <w:rPr>
          <w:rFonts w:hint="cs"/>
          <w:rtl/>
        </w:rPr>
        <w:t xml:space="preserve">יומא לח, ב </w:t>
      </w:r>
      <w:r>
        <w:rPr>
          <w:rtl/>
        </w:rPr>
        <w:t>–</w:t>
      </w:r>
      <w:r>
        <w:rPr>
          <w:rFonts w:hint="cs"/>
          <w:rtl/>
        </w:rPr>
        <w:t xml:space="preserve"> לט, א. וראה </w:t>
      </w:r>
      <w:proofErr w:type="spellStart"/>
      <w:r>
        <w:rPr>
          <w:rFonts w:hint="cs"/>
          <w:rtl/>
        </w:rPr>
        <w:t>לקו"מ</w:t>
      </w:r>
      <w:proofErr w:type="spellEnd"/>
      <w:r>
        <w:rPr>
          <w:rFonts w:hint="cs"/>
          <w:rtl/>
        </w:rPr>
        <w:t xml:space="preserve"> שם.</w:t>
      </w:r>
    </w:p>
  </w:endnote>
  <w:endnote w:id="17">
    <w:p w:rsidR="004E6EDE" w:rsidRDefault="004E6EDE" w:rsidP="004E6EDE">
      <w:pPr>
        <w:pStyle w:val="a3"/>
        <w:rPr>
          <w:rFonts w:hint="cs"/>
        </w:rPr>
      </w:pPr>
      <w:r>
        <w:rPr>
          <w:rtl/>
        </w:rPr>
        <w:tab/>
      </w:r>
      <w:r w:rsidRPr="00944A81">
        <w:rPr>
          <w:rtl/>
        </w:rPr>
        <w:endnoteRef/>
      </w:r>
      <w:r>
        <w:rPr>
          <w:rtl/>
        </w:rPr>
        <w:t>.</w:t>
      </w:r>
      <w:r>
        <w:rPr>
          <w:rtl/>
        </w:rPr>
        <w:tab/>
      </w:r>
      <w:r>
        <w:rPr>
          <w:rFonts w:hint="cs"/>
          <w:rtl/>
        </w:rPr>
        <w:t xml:space="preserve">וראה גם שיר השירים רבה א, ב (וביאור הדברים במאמרי אדמו"ר הזקן הקצרים עמ' </w:t>
      </w:r>
      <w:proofErr w:type="spellStart"/>
      <w:r>
        <w:rPr>
          <w:rFonts w:hint="cs"/>
          <w:rtl/>
        </w:rPr>
        <w:t>תסא</w:t>
      </w:r>
      <w:proofErr w:type="spellEnd"/>
      <w:r>
        <w:rPr>
          <w:rFonts w:hint="cs"/>
          <w:rtl/>
        </w:rPr>
        <w:t xml:space="preserve"> </w:t>
      </w:r>
      <w:r>
        <w:rPr>
          <w:rtl/>
        </w:rPr>
        <w:t>–</w:t>
      </w:r>
      <w:r>
        <w:rPr>
          <w:rFonts w:hint="cs"/>
          <w:rtl/>
        </w:rPr>
        <w:t xml:space="preserve"> הובא גם בשכינה ביניהם עמ' לו-</w:t>
      </w:r>
      <w:proofErr w:type="spellStart"/>
      <w:r>
        <w:rPr>
          <w:rFonts w:hint="cs"/>
          <w:rtl/>
        </w:rPr>
        <w:t>לז</w:t>
      </w:r>
      <w:proofErr w:type="spellEnd"/>
      <w:r>
        <w:rPr>
          <w:rFonts w:hint="cs"/>
          <w:rtl/>
        </w:rPr>
        <w:t>).</w:t>
      </w:r>
    </w:p>
  </w:endnote>
  <w:endnote w:id="18">
    <w:p w:rsidR="004E6EDE" w:rsidRDefault="004E6EDE" w:rsidP="004E6EDE">
      <w:pPr>
        <w:pStyle w:val="a3"/>
        <w:rPr>
          <w:rFonts w:hint="cs"/>
          <w:rtl/>
        </w:rPr>
      </w:pPr>
      <w:r>
        <w:rPr>
          <w:rtl/>
        </w:rPr>
        <w:tab/>
      </w:r>
      <w:r w:rsidRPr="00944A81">
        <w:rPr>
          <w:rtl/>
        </w:rPr>
        <w:endnoteRef/>
      </w:r>
      <w:r>
        <w:rPr>
          <w:rtl/>
        </w:rPr>
        <w:t>.</w:t>
      </w:r>
      <w:r>
        <w:rPr>
          <w:rtl/>
        </w:rPr>
        <w:tab/>
      </w:r>
      <w:r>
        <w:rPr>
          <w:rFonts w:hint="cs"/>
          <w:rtl/>
        </w:rPr>
        <w:t>איכה רבה ג, ח. וראה מאמר ד"ה "ביום עשתי עשר יום" י"א ניסן תשל"א (קונטרס י"א ניסן תשמ"ט).</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E10" w:rsidRDefault="00A96E10" w:rsidP="00FE73A5">
      <w:pPr>
        <w:spacing w:after="0" w:line="240" w:lineRule="auto"/>
      </w:pPr>
      <w:r>
        <w:separator/>
      </w:r>
    </w:p>
  </w:footnote>
  <w:footnote w:type="continuationSeparator" w:id="0">
    <w:p w:rsidR="00A96E10" w:rsidRDefault="00A96E10" w:rsidP="00FE73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08"/>
    <w:rsid w:val="00061E65"/>
    <w:rsid w:val="004E6EDE"/>
    <w:rsid w:val="00605608"/>
    <w:rsid w:val="00A96E10"/>
    <w:rsid w:val="00AC2310"/>
    <w:rsid w:val="00C4324B"/>
    <w:rsid w:val="00FE73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4E6EDE"/>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4E6ED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aliases w:val="Endnote Text"/>
    <w:basedOn w:val="a"/>
    <w:link w:val="a4"/>
    <w:semiHidden/>
    <w:unhideWhenUsed/>
    <w:rsid w:val="00FE73A5"/>
    <w:pPr>
      <w:spacing w:after="0" w:line="240" w:lineRule="auto"/>
      <w:jc w:val="left"/>
    </w:pPr>
    <w:rPr>
      <w:rFonts w:asciiTheme="minorHAnsi" w:eastAsiaTheme="minorHAnsi" w:hAnsiTheme="minorHAnsi" w:cstheme="minorBidi"/>
      <w:sz w:val="20"/>
      <w:szCs w:val="20"/>
      <w:lang w:eastAsia="en-US"/>
    </w:rPr>
  </w:style>
  <w:style w:type="character" w:customStyle="1" w:styleId="a4">
    <w:name w:val="טקסט הערת סיום תו"/>
    <w:basedOn w:val="a0"/>
    <w:link w:val="a3"/>
    <w:uiPriority w:val="99"/>
    <w:semiHidden/>
    <w:rsid w:val="00FE73A5"/>
    <w:rPr>
      <w:sz w:val="20"/>
      <w:szCs w:val="20"/>
    </w:rPr>
  </w:style>
  <w:style w:type="character" w:customStyle="1" w:styleId="20">
    <w:name w:val="כותרת 2 תו"/>
    <w:basedOn w:val="a0"/>
    <w:link w:val="2"/>
    <w:rsid w:val="004E6EDE"/>
    <w:rPr>
      <w:rFonts w:ascii="DF Calligraphic Ornaments LET" w:eastAsia="Times New Roman" w:hAnsi="DF Calligraphic Ornaments LET" w:cs="Guttman Soncino"/>
      <w:noProof/>
      <w:spacing w:val="20"/>
      <w:w w:val="90"/>
      <w:kern w:val="28"/>
      <w:sz w:val="44"/>
      <w:szCs w:val="46"/>
    </w:rPr>
  </w:style>
  <w:style w:type="character" w:styleId="a5">
    <w:name w:val="footnote reference"/>
    <w:aliases w:val="Footnote Reference"/>
    <w:basedOn w:val="a0"/>
    <w:semiHidden/>
    <w:rsid w:val="004E6EDE"/>
    <w:rPr>
      <w:noProof/>
      <w:position w:val="-4"/>
      <w:szCs w:val="26"/>
      <w:vertAlign w:val="superscript"/>
    </w:rPr>
  </w:style>
  <w:style w:type="character" w:styleId="a6">
    <w:name w:val="endnote reference"/>
    <w:aliases w:val="Endnote Reference"/>
    <w:basedOn w:val="a5"/>
    <w:semiHidden/>
    <w:rsid w:val="004E6EDE"/>
    <w:rPr>
      <w:noProof/>
      <w:position w:val="-4"/>
      <w:szCs w:val="27"/>
      <w:vertAlign w:val="superscript"/>
    </w:rPr>
  </w:style>
  <w:style w:type="paragraph" w:customStyle="1" w:styleId="a7">
    <w:name w:val="פתיח תו"/>
    <w:basedOn w:val="a"/>
    <w:link w:val="a8"/>
    <w:rsid w:val="004E6EDE"/>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4E6EDE"/>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4E6EDE"/>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4E6ED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aliases w:val="Endnote Text"/>
    <w:basedOn w:val="a"/>
    <w:link w:val="a4"/>
    <w:semiHidden/>
    <w:unhideWhenUsed/>
    <w:rsid w:val="00FE73A5"/>
    <w:pPr>
      <w:spacing w:after="0" w:line="240" w:lineRule="auto"/>
      <w:jc w:val="left"/>
    </w:pPr>
    <w:rPr>
      <w:rFonts w:asciiTheme="minorHAnsi" w:eastAsiaTheme="minorHAnsi" w:hAnsiTheme="minorHAnsi" w:cstheme="minorBidi"/>
      <w:sz w:val="20"/>
      <w:szCs w:val="20"/>
      <w:lang w:eastAsia="en-US"/>
    </w:rPr>
  </w:style>
  <w:style w:type="character" w:customStyle="1" w:styleId="a4">
    <w:name w:val="טקסט הערת סיום תו"/>
    <w:basedOn w:val="a0"/>
    <w:link w:val="a3"/>
    <w:uiPriority w:val="99"/>
    <w:semiHidden/>
    <w:rsid w:val="00FE73A5"/>
    <w:rPr>
      <w:sz w:val="20"/>
      <w:szCs w:val="20"/>
    </w:rPr>
  </w:style>
  <w:style w:type="character" w:customStyle="1" w:styleId="20">
    <w:name w:val="כותרת 2 תו"/>
    <w:basedOn w:val="a0"/>
    <w:link w:val="2"/>
    <w:rsid w:val="004E6EDE"/>
    <w:rPr>
      <w:rFonts w:ascii="DF Calligraphic Ornaments LET" w:eastAsia="Times New Roman" w:hAnsi="DF Calligraphic Ornaments LET" w:cs="Guttman Soncino"/>
      <w:noProof/>
      <w:spacing w:val="20"/>
      <w:w w:val="90"/>
      <w:kern w:val="28"/>
      <w:sz w:val="44"/>
      <w:szCs w:val="46"/>
    </w:rPr>
  </w:style>
  <w:style w:type="character" w:styleId="a5">
    <w:name w:val="footnote reference"/>
    <w:aliases w:val="Footnote Reference"/>
    <w:basedOn w:val="a0"/>
    <w:semiHidden/>
    <w:rsid w:val="004E6EDE"/>
    <w:rPr>
      <w:noProof/>
      <w:position w:val="-4"/>
      <w:szCs w:val="26"/>
      <w:vertAlign w:val="superscript"/>
    </w:rPr>
  </w:style>
  <w:style w:type="character" w:styleId="a6">
    <w:name w:val="endnote reference"/>
    <w:aliases w:val="Endnote Reference"/>
    <w:basedOn w:val="a5"/>
    <w:semiHidden/>
    <w:rsid w:val="004E6EDE"/>
    <w:rPr>
      <w:noProof/>
      <w:position w:val="-4"/>
      <w:szCs w:val="27"/>
      <w:vertAlign w:val="superscript"/>
    </w:rPr>
  </w:style>
  <w:style w:type="paragraph" w:customStyle="1" w:styleId="a7">
    <w:name w:val="פתיח תו"/>
    <w:basedOn w:val="a"/>
    <w:link w:val="a8"/>
    <w:rsid w:val="004E6EDE"/>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4E6EDE"/>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602</Words>
  <Characters>3015</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2017-08-16T09:28:00Z</dcterms:created>
  <dcterms:modified xsi:type="dcterms:W3CDTF">2017-08-16T09:31:00Z</dcterms:modified>
</cp:coreProperties>
</file>