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86" w:rsidRDefault="00891886" w:rsidP="00891886">
      <w:pPr>
        <w:pStyle w:val="2"/>
        <w:rPr>
          <w:rtl/>
        </w:rPr>
      </w:pPr>
      <w:bookmarkStart w:id="0" w:name="_Toc302128602"/>
      <w:bookmarkStart w:id="1" w:name="_Ref302128968"/>
      <w:r>
        <w:rPr>
          <w:rFonts w:hint="cs"/>
          <w:rtl/>
        </w:rPr>
        <w:t>א</w:t>
      </w:r>
      <w:r>
        <w:rPr>
          <w:rtl/>
        </w:rPr>
        <w:t>שה חדשה</w:t>
      </w:r>
      <w:bookmarkEnd w:id="0"/>
      <w:bookmarkEnd w:id="1"/>
    </w:p>
    <w:p w:rsidR="00891886" w:rsidRPr="006E34D4" w:rsidRDefault="00891886" w:rsidP="00891886">
      <w:pPr>
        <w:keepNext/>
        <w:framePr w:dropCap="drop" w:lines="3" w:h="1049" w:hRule="exact" w:hSpace="57" w:wrap="around" w:vAnchor="text" w:hAnchor="text" w:xAlign="right" w:y="-310"/>
        <w:spacing w:after="0" w:line="1049" w:lineRule="exact"/>
        <w:textAlignment w:val="baseline"/>
        <w:rPr>
          <w:rStyle w:val="a8"/>
          <w:position w:val="-12"/>
          <w:sz w:val="91"/>
          <w:szCs w:val="91"/>
          <w:rtl/>
        </w:rPr>
      </w:pPr>
      <w:r w:rsidRPr="006E34D4">
        <w:rPr>
          <w:rStyle w:val="a8"/>
          <w:position w:val="-12"/>
          <w:sz w:val="91"/>
          <w:szCs w:val="91"/>
          <w:rtl/>
        </w:rPr>
        <w:t>ל</w:t>
      </w:r>
    </w:p>
    <w:p w:rsidR="00891886" w:rsidRDefault="00891886" w:rsidP="00891886">
      <w:pPr>
        <w:rPr>
          <w:rFonts w:hint="cs"/>
          <w:rtl/>
        </w:rPr>
      </w:pPr>
      <w:r>
        <w:rPr>
          <w:rtl/>
        </w:rPr>
        <w:t>פי "מנהג ישראל תורה"</w:t>
      </w:r>
      <w:r w:rsidRPr="008636EE">
        <w:rPr>
          <w:rStyle w:val="a3"/>
          <w:rtl/>
        </w:rPr>
        <w:endnoteReference w:id="1"/>
      </w:r>
      <w:r>
        <w:rPr>
          <w:rtl/>
        </w:rPr>
        <w:t xml:space="preserve"> מציינים בכתובה את התאריך כ"יום... ב</w:t>
      </w:r>
      <w:r w:rsidRPr="00D91656">
        <w:rPr>
          <w:rStyle w:val="a4"/>
          <w:rtl/>
        </w:rPr>
        <w:t>חדש</w:t>
      </w:r>
      <w:r>
        <w:rPr>
          <w:rtl/>
        </w:rPr>
        <w:t>..."</w:t>
      </w:r>
      <w:r w:rsidRPr="008636EE">
        <w:rPr>
          <w:rStyle w:val="a3"/>
          <w:rtl/>
        </w:rPr>
        <w:endnoteReference w:id="2"/>
      </w:r>
      <w:r>
        <w:rPr>
          <w:rtl/>
        </w:rPr>
        <w:t>, ואילו בגט כ"יום... ב</w:t>
      </w:r>
      <w:r w:rsidRPr="00D91656">
        <w:rPr>
          <w:rStyle w:val="a4"/>
          <w:rtl/>
        </w:rPr>
        <w:t>ירח</w:t>
      </w:r>
      <w:r>
        <w:rPr>
          <w:rtl/>
        </w:rPr>
        <w:t>..."</w:t>
      </w:r>
      <w:r w:rsidRPr="008636EE">
        <w:rPr>
          <w:rStyle w:val="a3"/>
          <w:rtl/>
        </w:rPr>
        <w:endnoteReference w:id="3"/>
      </w:r>
      <w:r>
        <w:rPr>
          <w:rtl/>
        </w:rPr>
        <w:t xml:space="preserve">. </w:t>
      </w:r>
      <w:r>
        <w:rPr>
          <w:rFonts w:hint="cs"/>
          <w:rtl/>
        </w:rPr>
        <w:t>מבואר</w:t>
      </w:r>
      <w:bookmarkStart w:id="2" w:name="_Ref301992627"/>
      <w:r w:rsidRPr="008636EE">
        <w:rPr>
          <w:rStyle w:val="a3"/>
          <w:rtl/>
        </w:rPr>
        <w:endnoteReference w:id="4"/>
      </w:r>
      <w:bookmarkEnd w:id="2"/>
      <w:r>
        <w:rPr>
          <w:rtl/>
        </w:rPr>
        <w:t xml:space="preserve"> </w:t>
      </w:r>
      <w:r>
        <w:rPr>
          <w:rFonts w:hint="cs"/>
          <w:rtl/>
        </w:rPr>
        <w:t xml:space="preserve">כי </w:t>
      </w:r>
      <w:r>
        <w:rPr>
          <w:rtl/>
        </w:rPr>
        <w:t xml:space="preserve">סמך למנהג זה </w:t>
      </w:r>
      <w:r>
        <w:rPr>
          <w:rFonts w:hint="cs"/>
          <w:rtl/>
        </w:rPr>
        <w:t xml:space="preserve">נמצא </w:t>
      </w:r>
      <w:r>
        <w:rPr>
          <w:rtl/>
        </w:rPr>
        <w:t xml:space="preserve">בלשון הפסוקים: בנישואין נאמר "כי </w:t>
      </w:r>
      <w:proofErr w:type="spellStart"/>
      <w:r>
        <w:rPr>
          <w:rtl/>
        </w:rPr>
        <w:t>יקח</w:t>
      </w:r>
      <w:proofErr w:type="spellEnd"/>
      <w:r>
        <w:rPr>
          <w:rtl/>
        </w:rPr>
        <w:t xml:space="preserve"> איש </w:t>
      </w:r>
      <w:proofErr w:type="spellStart"/>
      <w:r>
        <w:rPr>
          <w:rtl/>
        </w:rPr>
        <w:t>אשה</w:t>
      </w:r>
      <w:proofErr w:type="spellEnd"/>
      <w:r>
        <w:rPr>
          <w:rtl/>
        </w:rPr>
        <w:t xml:space="preserve"> </w:t>
      </w:r>
      <w:r w:rsidRPr="00D91656">
        <w:rPr>
          <w:rStyle w:val="a4"/>
          <w:rtl/>
        </w:rPr>
        <w:t>חדשה</w:t>
      </w:r>
      <w:r>
        <w:rPr>
          <w:rtl/>
        </w:rPr>
        <w:t>"</w:t>
      </w:r>
      <w:r w:rsidRPr="008636EE">
        <w:rPr>
          <w:rStyle w:val="a3"/>
          <w:rtl/>
        </w:rPr>
        <w:endnoteReference w:id="5"/>
      </w:r>
      <w:r>
        <w:rPr>
          <w:rtl/>
        </w:rPr>
        <w:t xml:space="preserve">, ואילו "ירח" מופיע בהקשר של גירושין – "גרש </w:t>
      </w:r>
      <w:r w:rsidRPr="00D91656">
        <w:rPr>
          <w:rStyle w:val="a4"/>
          <w:rtl/>
        </w:rPr>
        <w:t>ירחים</w:t>
      </w:r>
      <w:r>
        <w:rPr>
          <w:rtl/>
        </w:rPr>
        <w:t>"</w:t>
      </w:r>
      <w:r w:rsidRPr="008636EE">
        <w:rPr>
          <w:rStyle w:val="a3"/>
          <w:rtl/>
        </w:rPr>
        <w:endnoteReference w:id="6"/>
      </w:r>
      <w:r>
        <w:rPr>
          <w:rtl/>
        </w:rPr>
        <w:t>.</w:t>
      </w:r>
    </w:p>
    <w:p w:rsidR="00891886" w:rsidRPr="000C5E55" w:rsidRDefault="00891886" w:rsidP="00891886">
      <w:pPr>
        <w:rPr>
          <w:rtl/>
        </w:rPr>
      </w:pPr>
      <w:r>
        <w:rPr>
          <w:rtl/>
        </w:rPr>
        <w:t xml:space="preserve">ראשית, נלמד מכך שחיי </w:t>
      </w:r>
      <w:r>
        <w:rPr>
          <w:rFonts w:hint="cs"/>
          <w:rtl/>
        </w:rPr>
        <w:t>ה</w:t>
      </w:r>
      <w:r>
        <w:rPr>
          <w:rtl/>
        </w:rPr>
        <w:t xml:space="preserve">נישואין בנויים על </w:t>
      </w:r>
      <w:r w:rsidRPr="00D91656">
        <w:rPr>
          <w:rStyle w:val="a4"/>
          <w:rtl/>
        </w:rPr>
        <w:t>התחדשות</w:t>
      </w:r>
      <w:r>
        <w:rPr>
          <w:rtl/>
        </w:rPr>
        <w:t xml:space="preserve"> מתמדת</w:t>
      </w:r>
      <w:r w:rsidRPr="008636EE">
        <w:rPr>
          <w:rStyle w:val="a3"/>
          <w:rtl/>
        </w:rPr>
        <w:endnoteReference w:id="7"/>
      </w:r>
      <w:r>
        <w:rPr>
          <w:rtl/>
        </w:rPr>
        <w:t>, ואם הופך ח"ו החידוש (המתבטא במח</w:t>
      </w:r>
      <w:r w:rsidRPr="000C5E55">
        <w:rPr>
          <w:rtl/>
        </w:rPr>
        <w:t>זור החדשים) לנדבך סתמי במעגל השנה</w:t>
      </w:r>
      <w:r w:rsidRPr="000C5E55">
        <w:rPr>
          <w:rFonts w:hint="cs"/>
          <w:rtl/>
        </w:rPr>
        <w:t xml:space="preserve"> הנישואין עלולים </w:t>
      </w:r>
      <w:proofErr w:type="spellStart"/>
      <w:r w:rsidRPr="000C5E55">
        <w:rPr>
          <w:rFonts w:hint="cs"/>
          <w:rtl/>
        </w:rPr>
        <w:t>להמצא</w:t>
      </w:r>
      <w:proofErr w:type="spellEnd"/>
      <w:r w:rsidRPr="000C5E55">
        <w:rPr>
          <w:rFonts w:hint="cs"/>
          <w:rtl/>
        </w:rPr>
        <w:t xml:space="preserve"> בסכנה</w:t>
      </w:r>
      <w:r w:rsidRPr="000C5E55">
        <w:rPr>
          <w:rtl/>
        </w:rPr>
        <w:t>.</w:t>
      </w:r>
    </w:p>
    <w:p w:rsidR="00891886" w:rsidRDefault="00891886" w:rsidP="00891886">
      <w:pPr>
        <w:rPr>
          <w:rFonts w:hint="cs"/>
          <w:rtl/>
        </w:rPr>
      </w:pPr>
      <w:r>
        <w:rPr>
          <w:rtl/>
        </w:rPr>
        <w:t>בפנימיות יותר, חדשי השנה נקראים "</w:t>
      </w:r>
      <w:r w:rsidRPr="00D91656">
        <w:rPr>
          <w:rStyle w:val="a4"/>
          <w:rtl/>
        </w:rPr>
        <w:t>חדשים</w:t>
      </w:r>
      <w:r>
        <w:rPr>
          <w:rtl/>
        </w:rPr>
        <w:t xml:space="preserve">" על שם </w:t>
      </w:r>
      <w:r w:rsidRPr="00D91656">
        <w:rPr>
          <w:rStyle w:val="a4"/>
          <w:rtl/>
        </w:rPr>
        <w:t>חידוש</w:t>
      </w:r>
      <w:r>
        <w:rPr>
          <w:rtl/>
        </w:rPr>
        <w:t xml:space="preserve"> ומולד הלבנה, ו"</w:t>
      </w:r>
      <w:r w:rsidRPr="00D91656">
        <w:rPr>
          <w:rStyle w:val="a4"/>
          <w:rtl/>
        </w:rPr>
        <w:t>ירחים</w:t>
      </w:r>
      <w:r>
        <w:rPr>
          <w:rtl/>
        </w:rPr>
        <w:t>" על שם עצם הלבנה-ה</w:t>
      </w:r>
      <w:r w:rsidRPr="00D91656">
        <w:rPr>
          <w:rStyle w:val="a4"/>
          <w:rtl/>
        </w:rPr>
        <w:t>ירח</w:t>
      </w:r>
      <w:r>
        <w:rPr>
          <w:rtl/>
        </w:rPr>
        <w:t>. אם כן, מוקד ה"חדש" הוא בראש-חדש</w:t>
      </w:r>
      <w:r>
        <w:rPr>
          <w:rFonts w:hint="cs"/>
          <w:rtl/>
        </w:rPr>
        <w:t>,</w:t>
      </w:r>
      <w:r>
        <w:rPr>
          <w:rtl/>
        </w:rPr>
        <w:t xml:space="preserve"> עת חידוש הלבנה, ומוקד ה"ירח" באמצעו</w:t>
      </w:r>
      <w:r>
        <w:rPr>
          <w:rFonts w:hint="cs"/>
          <w:rtl/>
        </w:rPr>
        <w:t>,</w:t>
      </w:r>
      <w:r>
        <w:rPr>
          <w:rtl/>
        </w:rPr>
        <w:t xml:space="preserve"> כשעולה הירח המלא. הלבנה רומזת לכלה</w:t>
      </w:r>
      <w:r w:rsidRPr="008636EE">
        <w:rPr>
          <w:rStyle w:val="a3"/>
          <w:rtl/>
        </w:rPr>
        <w:endnoteReference w:id="8"/>
      </w:r>
      <w:r>
        <w:rPr>
          <w:rtl/>
        </w:rPr>
        <w:t xml:space="preserve">, </w:t>
      </w:r>
      <w:r>
        <w:rPr>
          <w:rFonts w:hint="cs"/>
          <w:rtl/>
        </w:rPr>
        <w:t xml:space="preserve">ומכך עולה כי </w:t>
      </w:r>
      <w:r>
        <w:rPr>
          <w:rtl/>
        </w:rPr>
        <w:t>היחס לחידוש הלבנה-הכלה מביא חיי נישואין יציבים ובריאים, ואילו הדגשת הלבנה-הכלה במילואה טומ</w:t>
      </w:r>
      <w:r>
        <w:rPr>
          <w:rFonts w:hint="cs"/>
          <w:rtl/>
        </w:rPr>
        <w:t>נת</w:t>
      </w:r>
      <w:r>
        <w:rPr>
          <w:rtl/>
        </w:rPr>
        <w:t xml:space="preserve"> בחו</w:t>
      </w:r>
      <w:r>
        <w:rPr>
          <w:rFonts w:hint="cs"/>
          <w:rtl/>
        </w:rPr>
        <w:t>ּ</w:t>
      </w:r>
      <w:r>
        <w:rPr>
          <w:rtl/>
        </w:rPr>
        <w:t>ב</w:t>
      </w:r>
      <w:r>
        <w:rPr>
          <w:rFonts w:hint="cs"/>
          <w:rtl/>
        </w:rPr>
        <w:t>ה</w:t>
      </w:r>
      <w:r>
        <w:rPr>
          <w:rtl/>
        </w:rPr>
        <w:t xml:space="preserve"> משבר:</w:t>
      </w:r>
    </w:p>
    <w:p w:rsidR="00891886" w:rsidRPr="000C5E55" w:rsidRDefault="00891886" w:rsidP="00891886">
      <w:pPr>
        <w:rPr>
          <w:rFonts w:hint="cs"/>
          <w:rtl/>
        </w:rPr>
      </w:pPr>
      <w:r>
        <w:rPr>
          <w:rtl/>
        </w:rPr>
        <w:t>אם הקשר בין בנ</w:t>
      </w:r>
      <w:r w:rsidRPr="000C5E55">
        <w:rPr>
          <w:rtl/>
        </w:rPr>
        <w:t xml:space="preserve">י הזוג נבנה כלפי בן הזוג כשהוא במיטבו, כשכל תכונותיו </w:t>
      </w:r>
      <w:proofErr w:type="spellStart"/>
      <w:r w:rsidRPr="000C5E55">
        <w:rPr>
          <w:rtl/>
        </w:rPr>
        <w:t>ומדותיו</w:t>
      </w:r>
      <w:proofErr w:type="spellEnd"/>
      <w:r w:rsidRPr="000C5E55">
        <w:rPr>
          <w:rtl/>
        </w:rPr>
        <w:t xml:space="preserve"> היפות חשופות – כירח במילואו – </w:t>
      </w:r>
      <w:r w:rsidRPr="000C5E55">
        <w:rPr>
          <w:rFonts w:hint="cs"/>
          <w:rtl/>
        </w:rPr>
        <w:t xml:space="preserve">עתידו בסכנה, התחושה היא שאין לו לאן להתפתח ולכן הוא עלול אף להגיע לכלל </w:t>
      </w:r>
      <w:r w:rsidRPr="000C5E55">
        <w:rPr>
          <w:rtl/>
        </w:rPr>
        <w:t xml:space="preserve">גירושין. שהרי, לא בכל תקופה נמצאים בני הזוג במיטבם, והקשר צריך להחזיק מעמד גם בירידות. לעומת זאת, כשהקשר </w:t>
      </w:r>
      <w:proofErr w:type="spellStart"/>
      <w:r w:rsidRPr="000C5E55">
        <w:rPr>
          <w:rtl/>
        </w:rPr>
        <w:t>מתיחס</w:t>
      </w:r>
      <w:proofErr w:type="spellEnd"/>
      <w:r w:rsidRPr="000C5E55">
        <w:rPr>
          <w:rtl/>
        </w:rPr>
        <w:t xml:space="preserve"> תמיד לבן הזוג כמתחדש, כנקודה סמויה ונעלמת שעתידה לגדול ולהתפתח – כלבנה </w:t>
      </w:r>
      <w:proofErr w:type="spellStart"/>
      <w:r w:rsidRPr="000C5E55">
        <w:rPr>
          <w:rtl/>
        </w:rPr>
        <w:t>במולדה</w:t>
      </w:r>
      <w:proofErr w:type="spellEnd"/>
      <w:r w:rsidRPr="000C5E55">
        <w:rPr>
          <w:rtl/>
        </w:rPr>
        <w:t xml:space="preserve"> – אזי הקשר מתבסס </w:t>
      </w:r>
      <w:proofErr w:type="spellStart"/>
      <w:r w:rsidRPr="000C5E55">
        <w:rPr>
          <w:rtl/>
        </w:rPr>
        <w:t>ומתיצב</w:t>
      </w:r>
      <w:proofErr w:type="spellEnd"/>
      <w:r w:rsidRPr="000C5E55">
        <w:rPr>
          <w:rtl/>
        </w:rPr>
        <w:t xml:space="preserve">. </w:t>
      </w:r>
    </w:p>
    <w:p w:rsidR="00891886" w:rsidRDefault="00891886" w:rsidP="00891886">
      <w:pPr>
        <w:rPr>
          <w:rFonts w:hint="cs"/>
          <w:rtl/>
        </w:rPr>
      </w:pPr>
      <w:r>
        <w:rPr>
          <w:rFonts w:hint="cs"/>
          <w:rtl/>
        </w:rPr>
        <w:t xml:space="preserve">[והתבוננות לשונית: האותיות </w:t>
      </w:r>
      <w:r w:rsidRPr="00BA6F30">
        <w:rPr>
          <w:rFonts w:hint="cs"/>
          <w:b/>
          <w:bCs/>
          <w:sz w:val="28"/>
          <w:szCs w:val="28"/>
          <w:rtl/>
        </w:rPr>
        <w:t>ח</w:t>
      </w:r>
      <w:r>
        <w:rPr>
          <w:rFonts w:hint="cs"/>
          <w:rtl/>
        </w:rPr>
        <w:t xml:space="preserve"> ו-</w:t>
      </w:r>
      <w:r w:rsidRPr="00BA6F30">
        <w:rPr>
          <w:rFonts w:hint="cs"/>
          <w:b/>
          <w:bCs/>
          <w:sz w:val="28"/>
          <w:szCs w:val="28"/>
          <w:rtl/>
        </w:rPr>
        <w:t>ק</w:t>
      </w:r>
      <w:r>
        <w:rPr>
          <w:rFonts w:hint="cs"/>
          <w:rtl/>
        </w:rPr>
        <w:t xml:space="preserve"> מתחלפות </w:t>
      </w:r>
      <w:proofErr w:type="spellStart"/>
      <w:r>
        <w:rPr>
          <w:rFonts w:hint="cs"/>
          <w:rtl/>
        </w:rPr>
        <w:t>באלב"ם</w:t>
      </w:r>
      <w:proofErr w:type="spellEnd"/>
      <w:r>
        <w:rPr>
          <w:rFonts w:hint="cs"/>
          <w:rtl/>
        </w:rPr>
        <w:t xml:space="preserve">, רמז לקשר בין </w:t>
      </w:r>
      <w:r w:rsidRPr="00BA6F30">
        <w:rPr>
          <w:rFonts w:hint="cs"/>
          <w:b/>
          <w:bCs/>
          <w:sz w:val="28"/>
          <w:szCs w:val="28"/>
          <w:rtl/>
        </w:rPr>
        <w:t>חדש</w:t>
      </w:r>
      <w:r>
        <w:rPr>
          <w:rFonts w:hint="cs"/>
          <w:rtl/>
        </w:rPr>
        <w:t xml:space="preserve"> ל-</w:t>
      </w:r>
      <w:r w:rsidRPr="00BA6F30">
        <w:rPr>
          <w:rFonts w:hint="cs"/>
          <w:b/>
          <w:bCs/>
          <w:sz w:val="28"/>
          <w:szCs w:val="28"/>
          <w:rtl/>
        </w:rPr>
        <w:t>קדש</w:t>
      </w:r>
      <w:r>
        <w:rPr>
          <w:rFonts w:hint="cs"/>
          <w:rtl/>
        </w:rPr>
        <w:t xml:space="preserve"> של </w:t>
      </w:r>
      <w:r w:rsidRPr="00D91656">
        <w:rPr>
          <w:rStyle w:val="a4"/>
          <w:rFonts w:hint="cs"/>
          <w:rtl/>
        </w:rPr>
        <w:t>קידושי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>, בבחינת "כזה ראה ו</w:t>
      </w:r>
      <w:r w:rsidRPr="00D91656">
        <w:rPr>
          <w:rStyle w:val="a4"/>
          <w:rFonts w:hint="cs"/>
          <w:rtl/>
        </w:rPr>
        <w:t>קדש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 xml:space="preserve"> האמור ב</w:t>
      </w:r>
      <w:r w:rsidRPr="00D91656">
        <w:rPr>
          <w:rStyle w:val="a4"/>
          <w:rFonts w:hint="cs"/>
          <w:rtl/>
        </w:rPr>
        <w:t>קידוש</w:t>
      </w:r>
      <w:r>
        <w:rPr>
          <w:rFonts w:hint="cs"/>
          <w:rtl/>
        </w:rPr>
        <w:t xml:space="preserve"> ה</w:t>
      </w:r>
      <w:r w:rsidRPr="00D91656">
        <w:rPr>
          <w:rStyle w:val="a4"/>
          <w:rFonts w:hint="cs"/>
          <w:rtl/>
        </w:rPr>
        <w:t>חדש</w:t>
      </w:r>
      <w:r>
        <w:rPr>
          <w:rFonts w:hint="cs"/>
          <w:rtl/>
        </w:rPr>
        <w:t xml:space="preserve">. על דרך זה, האות </w:t>
      </w:r>
      <w:r w:rsidRPr="00BA6F30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 xml:space="preserve"> ו-</w:t>
      </w:r>
      <w:r w:rsidRPr="00BA6F30">
        <w:rPr>
          <w:rFonts w:hint="cs"/>
          <w:b/>
          <w:bCs/>
          <w:sz w:val="28"/>
          <w:szCs w:val="28"/>
          <w:rtl/>
        </w:rPr>
        <w:t>ק</w:t>
      </w:r>
      <w:r>
        <w:rPr>
          <w:rFonts w:hint="cs"/>
          <w:rtl/>
        </w:rPr>
        <w:t xml:space="preserve"> שתיהן אותיות חך (גיכ"ק) המתחלפות זו בזו, לרמז שה</w:t>
      </w:r>
      <w:r w:rsidRPr="00BA6F30">
        <w:rPr>
          <w:rFonts w:hint="cs"/>
          <w:b/>
          <w:bCs/>
          <w:sz w:val="28"/>
          <w:szCs w:val="28"/>
          <w:rtl/>
        </w:rPr>
        <w:t>ירח</w:t>
      </w:r>
      <w:r>
        <w:rPr>
          <w:rFonts w:hint="cs"/>
          <w:rtl/>
        </w:rPr>
        <w:t xml:space="preserve"> המלא </w:t>
      </w:r>
      <w:r w:rsidRPr="00985561">
        <w:rPr>
          <w:rFonts w:hint="cs"/>
          <w:rtl/>
        </w:rPr>
        <w:t>עלול להותיר</w:t>
      </w:r>
      <w:r>
        <w:rPr>
          <w:rFonts w:hint="cs"/>
          <w:rtl/>
        </w:rPr>
        <w:t xml:space="preserve"> את האדם בסוף "</w:t>
      </w:r>
      <w:r w:rsidRPr="00BA6F30">
        <w:rPr>
          <w:rFonts w:hint="cs"/>
          <w:b/>
          <w:bCs/>
          <w:sz w:val="28"/>
          <w:szCs w:val="28"/>
          <w:rtl/>
        </w:rPr>
        <w:t>קרח</w:t>
      </w:r>
      <w:r>
        <w:rPr>
          <w:rFonts w:hint="cs"/>
          <w:rtl/>
        </w:rPr>
        <w:t xml:space="preserve"> מכאן ומכאן"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(כצורתו העגולה של ירח), כאשר המעלות הישנות נחלשות בעיניו ואין הוא צופה צמיחה של מעלות חדשות, ודוק.]</w:t>
      </w:r>
    </w:p>
    <w:p w:rsidR="00891886" w:rsidRDefault="00891886" w:rsidP="00891886">
      <w:pPr>
        <w:rPr>
          <w:rFonts w:hint="cs"/>
          <w:rtl/>
        </w:rPr>
      </w:pPr>
      <w:r>
        <w:rPr>
          <w:rtl/>
        </w:rPr>
        <w:t>ובסגנון אחר: נישואין טובים (כבר מראשיתם, מקבלת ההחלטה להתחתן) אינם מתבססים על המוחשי</w:t>
      </w:r>
      <w:r>
        <w:rPr>
          <w:rFonts w:hint="cs"/>
          <w:rtl/>
        </w:rPr>
        <w:t>,</w:t>
      </w:r>
      <w:r>
        <w:rPr>
          <w:rtl/>
        </w:rPr>
        <w:t xml:space="preserve"> על הטוב שנמצא בעין על פני השטח</w:t>
      </w:r>
      <w:r>
        <w:rPr>
          <w:rFonts w:hint="cs"/>
          <w:rtl/>
        </w:rPr>
        <w:t>,</w:t>
      </w:r>
      <w:r>
        <w:rPr>
          <w:rtl/>
        </w:rPr>
        <w:t xml:space="preserve"> אלא בנויים על אמונה עמוקה בחידוש שעתיד לצמוח מהנישואין, מהקשר הטוב והרציף, בעליות ובירידות, בין בני הזוג</w:t>
      </w:r>
      <w:r w:rsidRPr="008636EE">
        <w:rPr>
          <w:rStyle w:val="a3"/>
          <w:rtl/>
        </w:rPr>
        <w:endnoteReference w:id="11"/>
      </w:r>
      <w:r>
        <w:rPr>
          <w:rtl/>
        </w:rPr>
        <w:t>.</w:t>
      </w:r>
      <w:r>
        <w:rPr>
          <w:rFonts w:hint="cs"/>
          <w:rtl/>
        </w:rPr>
        <w:t xml:space="preserve"> </w:t>
      </w:r>
    </w:p>
    <w:p w:rsidR="005F4A47" w:rsidRDefault="00891886" w:rsidP="00891886">
      <w:r>
        <w:rPr>
          <w:rFonts w:hint="cs"/>
          <w:rtl/>
        </w:rPr>
        <w:t xml:space="preserve">כמובן, האמונה במה שעתיד לצמוח איננה </w:t>
      </w:r>
      <w:proofErr w:type="spellStart"/>
      <w:r>
        <w:rPr>
          <w:rFonts w:hint="cs"/>
          <w:rtl/>
        </w:rPr>
        <w:t>עוורת</w:t>
      </w:r>
      <w:proofErr w:type="spellEnd"/>
      <w:r>
        <w:rPr>
          <w:rFonts w:hint="cs"/>
          <w:rtl/>
        </w:rPr>
        <w:t>, אלא מתבססת על המעט שנחשף בין בני הזוג בתקופת ההכרות והביא להחלטתם להתחתן. את ההחלטה להתחתן ניתן לדמות לברכת הלבנה, הנעשית דווקא בזמן בו הלבנה עדיין אינה במלואה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>, אך רק לאחר שיש גילוי ממשי של התחדשותה. על פי הקבלה</w:t>
      </w:r>
      <w:r w:rsidRPr="008636EE">
        <w:rPr>
          <w:rStyle w:val="a3"/>
          <w:rtl/>
        </w:rPr>
        <w:endnoteReference w:id="13"/>
      </w:r>
      <w:r>
        <w:rPr>
          <w:rFonts w:hint="cs"/>
          <w:rtl/>
        </w:rPr>
        <w:t xml:space="preserve"> נוהגים לחכות שבעה ימים ממולד הלבנה, ועל פי הלכה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 xml:space="preserve"> יש לחכות לכל הפחות שלשה ימים. יש לדרוש כי </w:t>
      </w:r>
      <w:r w:rsidRPr="002E70ED">
        <w:rPr>
          <w:rFonts w:hint="cs"/>
          <w:b/>
          <w:bCs/>
          <w:sz w:val="28"/>
          <w:szCs w:val="28"/>
          <w:rtl/>
        </w:rPr>
        <w:t>ג</w:t>
      </w:r>
      <w:r>
        <w:rPr>
          <w:rFonts w:hint="cs"/>
          <w:rtl/>
        </w:rPr>
        <w:t xml:space="preserve"> ימים ו-</w:t>
      </w:r>
      <w:r w:rsidRPr="002E70ED">
        <w:rPr>
          <w:rFonts w:hint="cs"/>
          <w:b/>
          <w:bCs/>
          <w:sz w:val="28"/>
          <w:szCs w:val="28"/>
          <w:rtl/>
        </w:rPr>
        <w:t>ז</w:t>
      </w:r>
      <w:r>
        <w:rPr>
          <w:rFonts w:hint="cs"/>
          <w:rtl/>
        </w:rPr>
        <w:t xml:space="preserve"> ימים רומזים לשני </w:t>
      </w:r>
      <w:proofErr w:type="spellStart"/>
      <w:r>
        <w:rPr>
          <w:rFonts w:hint="cs"/>
          <w:rtl/>
        </w:rPr>
        <w:t>הענינים</w:t>
      </w:r>
      <w:proofErr w:type="spellEnd"/>
      <w:r>
        <w:rPr>
          <w:rFonts w:hint="cs"/>
          <w:rtl/>
        </w:rPr>
        <w:t xml:space="preserve"> הדרושים כדי להגיע להחלטה להתחתן </w:t>
      </w:r>
      <w:r>
        <w:rPr>
          <w:rtl/>
        </w:rPr>
        <w:t>–</w:t>
      </w:r>
      <w:r>
        <w:rPr>
          <w:rFonts w:hint="cs"/>
          <w:rtl/>
        </w:rPr>
        <w:t xml:space="preserve"> התאמה על פי שכל (</w:t>
      </w:r>
      <w:r w:rsidRPr="002E70ED">
        <w:rPr>
          <w:rFonts w:hint="cs"/>
          <w:b/>
          <w:bCs/>
          <w:sz w:val="28"/>
          <w:szCs w:val="28"/>
          <w:rtl/>
        </w:rPr>
        <w:t>ג</w:t>
      </w:r>
      <w:r>
        <w:rPr>
          <w:rFonts w:hint="cs"/>
          <w:rtl/>
        </w:rPr>
        <w:t xml:space="preserve"> המוחין) ומשיכת הלב (</w:t>
      </w:r>
      <w:r w:rsidRPr="002E70ED">
        <w:rPr>
          <w:rFonts w:hint="cs"/>
          <w:b/>
          <w:bCs/>
          <w:sz w:val="28"/>
          <w:szCs w:val="28"/>
          <w:rtl/>
        </w:rPr>
        <w:t>ז</w:t>
      </w:r>
      <w:r>
        <w:rPr>
          <w:rFonts w:hint="cs"/>
          <w:rtl/>
        </w:rPr>
        <w:t xml:space="preserve"> מדות הלב)</w:t>
      </w:r>
      <w:r w:rsidRPr="008636EE">
        <w:rPr>
          <w:rStyle w:val="a3"/>
          <w:rtl/>
        </w:rPr>
        <w:endnoteReference w:id="15"/>
      </w:r>
      <w:r>
        <w:rPr>
          <w:rFonts w:hint="cs"/>
          <w:rtl/>
        </w:rPr>
        <w:t xml:space="preserve">. לכתחילה זקוקים גם למדה מסוימת של משיכת הלב, אך בדיעבד, במקרים מסוימים, הורה הרבי </w:t>
      </w:r>
      <w:proofErr w:type="spellStart"/>
      <w:r>
        <w:rPr>
          <w:rFonts w:hint="cs"/>
          <w:rtl/>
        </w:rPr>
        <w:t>מליובאוויטש</w:t>
      </w:r>
      <w:proofErr w:type="spellEnd"/>
      <w:r w:rsidRPr="008636EE">
        <w:rPr>
          <w:rStyle w:val="a3"/>
          <w:rtl/>
        </w:rPr>
        <w:endnoteReference w:id="16"/>
      </w:r>
      <w:r>
        <w:rPr>
          <w:rFonts w:hint="cs"/>
          <w:rtl/>
        </w:rPr>
        <w:t xml:space="preserve"> שדי בהתאמה שכלית בצירוף השערה קרובה (בשכל) שעם הזמן תתפתח משיכת הלב כדי להחליט על חתונה.</w:t>
      </w:r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05C" w:rsidRDefault="004C005C" w:rsidP="00891886">
      <w:pPr>
        <w:spacing w:after="0" w:line="240" w:lineRule="auto"/>
      </w:pPr>
      <w:r>
        <w:separator/>
      </w:r>
    </w:p>
  </w:endnote>
  <w:endnote w:type="continuationSeparator" w:id="0">
    <w:p w:rsidR="004C005C" w:rsidRDefault="004C005C" w:rsidP="00891886">
      <w:pPr>
        <w:spacing w:after="0" w:line="240" w:lineRule="auto"/>
      </w:pPr>
      <w:r>
        <w:continuationSeparator/>
      </w:r>
    </w:p>
  </w:endnote>
  <w:endnote w:id="1">
    <w:p w:rsidR="00891886" w:rsidRDefault="00891886" w:rsidP="00891886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תוד"ה</w:t>
      </w:r>
      <w:proofErr w:type="spellEnd"/>
      <w:r>
        <w:rPr>
          <w:rFonts w:hint="cs"/>
          <w:rtl/>
        </w:rPr>
        <w:t xml:space="preserve"> נפסל במנחות כ, ב. </w:t>
      </w:r>
      <w:proofErr w:type="spellStart"/>
      <w:r>
        <w:rPr>
          <w:rFonts w:hint="cs"/>
          <w:rtl/>
        </w:rPr>
        <w:t>מהרי"ל</w:t>
      </w:r>
      <w:proofErr w:type="spellEnd"/>
      <w:r>
        <w:rPr>
          <w:rFonts w:hint="cs"/>
          <w:rtl/>
        </w:rPr>
        <w:t xml:space="preserve"> הובא </w:t>
      </w:r>
      <w:proofErr w:type="spellStart"/>
      <w:r>
        <w:rPr>
          <w:rFonts w:hint="cs"/>
          <w:rtl/>
        </w:rPr>
        <w:t>ברמ"א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יו"ד סימן שעו סעיף ד. מנהגים ישנים </w:t>
      </w:r>
      <w:proofErr w:type="spellStart"/>
      <w:r>
        <w:rPr>
          <w:rFonts w:hint="cs"/>
          <w:rtl/>
        </w:rPr>
        <w:t>מדורא</w:t>
      </w:r>
      <w:proofErr w:type="spellEnd"/>
      <w:r>
        <w:rPr>
          <w:rFonts w:hint="cs"/>
          <w:rtl/>
        </w:rPr>
        <w:t xml:space="preserve"> עמ' 153. ראה ירושלים פסחים פ"ד ה"א.</w:t>
      </w:r>
    </w:p>
  </w:endnote>
  <w:endnote w:id="2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המקורות דלקמן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Ref301992627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ד</w:t>
      </w:r>
      <w:r>
        <w:rPr>
          <w:rtl/>
        </w:rPr>
        <w:fldChar w:fldCharType="end"/>
      </w:r>
      <w:r>
        <w:rPr>
          <w:rFonts w:hint="cs"/>
          <w:rtl/>
        </w:rPr>
        <w:t>.</w:t>
      </w:r>
    </w:p>
  </w:endnote>
  <w:endnote w:id="3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רמב"ם הלכות גירושין פ"ד </w:t>
      </w:r>
      <w:proofErr w:type="spellStart"/>
      <w:r>
        <w:rPr>
          <w:rFonts w:hint="cs"/>
          <w:rtl/>
        </w:rPr>
        <w:t>הי"ב</w:t>
      </w:r>
      <w:proofErr w:type="spellEnd"/>
      <w:r>
        <w:rPr>
          <w:rFonts w:hint="cs"/>
          <w:rtl/>
        </w:rPr>
        <w:t xml:space="preserve">. </w:t>
      </w:r>
    </w:p>
  </w:endnote>
  <w:endnote w:id="4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לבוש אבן העזר </w:t>
      </w:r>
      <w:proofErr w:type="spellStart"/>
      <w:r>
        <w:rPr>
          <w:rFonts w:hint="cs"/>
          <w:rtl/>
        </w:rPr>
        <w:t>סו</w:t>
      </w:r>
      <w:proofErr w:type="spellEnd"/>
      <w:r>
        <w:rPr>
          <w:rFonts w:hint="cs"/>
          <w:rtl/>
        </w:rPr>
        <w:t xml:space="preserve">, ב; נחלת שבעה ס"ד; שארית יעקב אבן העזר סימן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 (וברשימות דברים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מדור </w:t>
      </w:r>
      <w:proofErr w:type="spellStart"/>
      <w:r>
        <w:rPr>
          <w:rFonts w:hint="cs"/>
          <w:rtl/>
        </w:rPr>
        <w:t>הבעש"ט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נה</w:t>
      </w:r>
      <w:proofErr w:type="spellEnd"/>
      <w:r>
        <w:rPr>
          <w:rFonts w:hint="cs"/>
          <w:rtl/>
        </w:rPr>
        <w:t xml:space="preserve"> הובא גם בשם מורנו הבעל שם טוב).</w:t>
      </w:r>
    </w:p>
  </w:endnote>
  <w:endnote w:id="5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כד, ה.</w:t>
      </w:r>
    </w:p>
  </w:endnote>
  <w:endnote w:id="6">
    <w:p w:rsidR="00891886" w:rsidRDefault="00891886" w:rsidP="00891886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לג, יד.</w:t>
      </w:r>
    </w:p>
  </w:endnote>
  <w:endnote w:id="7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בשער א בתורה "חדש אלול </w:t>
      </w:r>
      <w:r>
        <w:rPr>
          <w:rtl/>
        </w:rPr>
        <w:t>–</w:t>
      </w:r>
      <w:r>
        <w:rPr>
          <w:rFonts w:hint="cs"/>
          <w:rtl/>
        </w:rPr>
        <w:t xml:space="preserve"> התחדשות הנישואין".</w:t>
      </w:r>
    </w:p>
  </w:endnote>
  <w:endnote w:id="8">
    <w:p w:rsidR="00891886" w:rsidRDefault="00891886" w:rsidP="00891886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גם בשאר התורות בשער זה (</w:t>
      </w:r>
      <w:proofErr w:type="spellStart"/>
      <w:r>
        <w:rPr>
          <w:rFonts w:hint="cs"/>
          <w:rtl/>
        </w:rPr>
        <w:t>והנסמן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בתחלת</w:t>
      </w:r>
      <w:proofErr w:type="spellEnd"/>
      <w:r>
        <w:rPr>
          <w:rFonts w:hint="cs"/>
          <w:rtl/>
        </w:rPr>
        <w:t xml:space="preserve"> התורה "לשמור על הירח מלא").</w:t>
      </w:r>
    </w:p>
  </w:endnote>
  <w:endnote w:id="9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ראש השנה כ, א.</w:t>
      </w:r>
    </w:p>
  </w:endnote>
  <w:endnote w:id="10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בבא קמא ס, ב </w:t>
      </w:r>
      <w:r>
        <w:rPr>
          <w:rtl/>
        </w:rPr>
        <w:t>–</w:t>
      </w:r>
      <w:r>
        <w:rPr>
          <w:rFonts w:hint="cs"/>
          <w:rtl/>
        </w:rPr>
        <w:t xml:space="preserve"> עיי"ש.</w:t>
      </w:r>
    </w:p>
  </w:endnote>
  <w:endnote w:id="11">
    <w:p w:rsidR="00891886" w:rsidRDefault="00891886" w:rsidP="00891886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על כך עוד ביין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שביעי בתורות "אמון </w:t>
      </w:r>
      <w:proofErr w:type="spellStart"/>
      <w:r>
        <w:rPr>
          <w:rFonts w:hint="cs"/>
          <w:rtl/>
        </w:rPr>
        <w:t>בכח</w:t>
      </w:r>
      <w:proofErr w:type="spellEnd"/>
      <w:r>
        <w:rPr>
          <w:rFonts w:hint="cs"/>
          <w:rtl/>
        </w:rPr>
        <w:t xml:space="preserve"> בן הזוג" ו"ישיש עליך... כמשוש חתן על כלה".</w:t>
      </w:r>
    </w:p>
  </w:endnote>
  <w:endnote w:id="12">
    <w:p w:rsidR="00891886" w:rsidRDefault="00891886" w:rsidP="00891886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שולחן ערוך אורח חיים תכו, ג.</w:t>
      </w:r>
    </w:p>
  </w:endnote>
  <w:endnote w:id="13">
    <w:p w:rsidR="00891886" w:rsidRDefault="00891886" w:rsidP="00891886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מקדש מלך על זהר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ל, ב; עשרה מאמרות </w:t>
      </w:r>
      <w:r>
        <w:rPr>
          <w:rtl/>
        </w:rPr>
        <w:t>–</w:t>
      </w:r>
      <w:r>
        <w:rPr>
          <w:rFonts w:hint="cs"/>
          <w:rtl/>
        </w:rPr>
        <w:t xml:space="preserve"> מאמר אם כל חי אות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 xml:space="preserve"> (וביאור הדברים ראה בדרך מצותיך מצות קידוש החודש ע, ב).</w:t>
      </w:r>
    </w:p>
  </w:endnote>
  <w:endnote w:id="14">
    <w:p w:rsidR="00891886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משנה ברורה </w:t>
      </w:r>
      <w:proofErr w:type="spellStart"/>
      <w:r>
        <w:rPr>
          <w:rFonts w:hint="cs"/>
          <w:rtl/>
        </w:rPr>
        <w:t>או"ח</w:t>
      </w:r>
      <w:proofErr w:type="spellEnd"/>
      <w:r>
        <w:rPr>
          <w:rFonts w:hint="cs"/>
          <w:rtl/>
        </w:rPr>
        <w:t xml:space="preserve"> תכו, ג </w:t>
      </w:r>
      <w:proofErr w:type="spellStart"/>
      <w:r>
        <w:rPr>
          <w:rFonts w:hint="cs"/>
          <w:rtl/>
        </w:rPr>
        <w:t>ס"ק</w:t>
      </w:r>
      <w:proofErr w:type="spellEnd"/>
      <w:r>
        <w:rPr>
          <w:rFonts w:hint="cs"/>
          <w:rtl/>
        </w:rPr>
        <w:t xml:space="preserve"> כ שהביא דעת רוב האחרונים בזה.</w:t>
      </w:r>
    </w:p>
  </w:endnote>
  <w:endnote w:id="15">
    <w:p w:rsidR="00891886" w:rsidRDefault="00891886" w:rsidP="00891886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ראה</w:t>
      </w:r>
      <w:proofErr w:type="spellEnd"/>
      <w:r>
        <w:rPr>
          <w:rFonts w:hint="cs"/>
          <w:rtl/>
        </w:rPr>
        <w:t xml:space="preserve"> אגרות קדש ח"ו אגרת </w:t>
      </w:r>
      <w:proofErr w:type="spellStart"/>
      <w:r>
        <w:rPr>
          <w:rFonts w:hint="cs"/>
          <w:rtl/>
        </w:rPr>
        <w:t>א'תתמג</w:t>
      </w:r>
      <w:proofErr w:type="spellEnd"/>
      <w:r>
        <w:rPr>
          <w:rFonts w:hint="cs"/>
          <w:rtl/>
        </w:rPr>
        <w:t xml:space="preserve">; חי"ח אגרת </w:t>
      </w:r>
      <w:proofErr w:type="spellStart"/>
      <w:r>
        <w:rPr>
          <w:rFonts w:hint="cs"/>
          <w:rtl/>
        </w:rPr>
        <w:t>ו'תתפט</w:t>
      </w:r>
      <w:proofErr w:type="spellEnd"/>
      <w:r>
        <w:rPr>
          <w:rFonts w:hint="cs"/>
          <w:rtl/>
        </w:rPr>
        <w:t>.</w:t>
      </w:r>
    </w:p>
  </w:endnote>
  <w:endnote w:id="16">
    <w:p w:rsidR="00891886" w:rsidRPr="004F2AFC" w:rsidRDefault="00891886" w:rsidP="00891886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4F2AFC">
        <w:rPr>
          <w:rtl/>
        </w:rPr>
        <w:t>ראה אגרות</w:t>
      </w:r>
      <w:r>
        <w:rPr>
          <w:rFonts w:hint="cs"/>
          <w:rtl/>
        </w:rPr>
        <w:t xml:space="preserve"> קד</w:t>
      </w:r>
      <w:r w:rsidRPr="004F2AFC">
        <w:rPr>
          <w:rtl/>
        </w:rPr>
        <w:t xml:space="preserve">ש </w:t>
      </w:r>
      <w:proofErr w:type="spellStart"/>
      <w:r w:rsidRPr="004F2AFC">
        <w:rPr>
          <w:rtl/>
        </w:rPr>
        <w:t>חט"ז</w:t>
      </w:r>
      <w:proofErr w:type="spellEnd"/>
      <w:r w:rsidRPr="004F2AFC">
        <w:rPr>
          <w:rtl/>
        </w:rPr>
        <w:t xml:space="preserve"> </w:t>
      </w:r>
      <w:r>
        <w:rPr>
          <w:rtl/>
        </w:rPr>
        <w:t xml:space="preserve">אגרת ו'פג </w:t>
      </w:r>
      <w:r>
        <w:rPr>
          <w:rFonts w:hint="cs"/>
          <w:rtl/>
        </w:rPr>
        <w:t>(</w:t>
      </w:r>
      <w:r w:rsidRPr="004F2AFC">
        <w:rPr>
          <w:rtl/>
        </w:rPr>
        <w:t xml:space="preserve">נדפסה גם </w:t>
      </w:r>
      <w:proofErr w:type="spellStart"/>
      <w:r w:rsidRPr="004F2AFC">
        <w:rPr>
          <w:rtl/>
        </w:rPr>
        <w:t>בלקו"ש</w:t>
      </w:r>
      <w:proofErr w:type="spellEnd"/>
      <w:r w:rsidRPr="004F2AFC">
        <w:rPr>
          <w:rtl/>
        </w:rPr>
        <w:t xml:space="preserve"> </w:t>
      </w:r>
      <w:proofErr w:type="spellStart"/>
      <w:r w:rsidRPr="004F2AFC">
        <w:rPr>
          <w:rtl/>
        </w:rPr>
        <w:t>חכ"ד</w:t>
      </w:r>
      <w:proofErr w:type="spellEnd"/>
      <w:r w:rsidRPr="004F2AFC">
        <w:rPr>
          <w:rtl/>
        </w:rPr>
        <w:t xml:space="preserve"> עמ' 457).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05C" w:rsidRDefault="004C005C" w:rsidP="00891886">
      <w:pPr>
        <w:spacing w:after="0" w:line="240" w:lineRule="auto"/>
      </w:pPr>
      <w:r>
        <w:separator/>
      </w:r>
    </w:p>
  </w:footnote>
  <w:footnote w:type="continuationSeparator" w:id="0">
    <w:p w:rsidR="004C005C" w:rsidRDefault="004C005C" w:rsidP="00891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35"/>
    <w:rsid w:val="00061E65"/>
    <w:rsid w:val="004C005C"/>
    <w:rsid w:val="00833535"/>
    <w:rsid w:val="00891886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91886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9188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9188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891886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891886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891886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891886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89188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89188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91886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9188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9188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891886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891886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891886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891886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89188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89188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2017-08-16T09:52:00Z</dcterms:created>
  <dcterms:modified xsi:type="dcterms:W3CDTF">2017-08-16T09:53:00Z</dcterms:modified>
</cp:coreProperties>
</file>