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A92" w:rsidRPr="000C5E55" w:rsidRDefault="00237A92" w:rsidP="00237A92">
      <w:pPr>
        <w:pStyle w:val="2"/>
        <w:rPr>
          <w:rFonts w:hint="cs"/>
          <w:rtl/>
        </w:rPr>
      </w:pPr>
      <w:bookmarkStart w:id="0" w:name="_Toc302128603"/>
      <w:bookmarkStart w:id="1" w:name="_Ref302128969"/>
      <w:r w:rsidRPr="000C5E55">
        <w:rPr>
          <w:rFonts w:hint="cs"/>
          <w:rtl/>
        </w:rPr>
        <w:t>"כי מאיש לֻקחה זאת"</w:t>
      </w:r>
      <w:bookmarkEnd w:id="0"/>
      <w:bookmarkEnd w:id="1"/>
    </w:p>
    <w:p w:rsidR="00237A92" w:rsidRPr="002E2CC9" w:rsidRDefault="00237A92" w:rsidP="00237A92">
      <w:pPr>
        <w:keepNext/>
        <w:framePr w:dropCap="drop" w:lines="2" w:hSpace="57" w:wrap="around" w:vAnchor="text" w:hAnchor="text" w:xAlign="right"/>
        <w:spacing w:after="0" w:line="760" w:lineRule="exact"/>
        <w:textAlignment w:val="baseline"/>
        <w:rPr>
          <w:rStyle w:val="a9"/>
          <w:rtl/>
        </w:rPr>
      </w:pPr>
      <w:r w:rsidRPr="002E2CC9">
        <w:rPr>
          <w:rStyle w:val="a9"/>
          <w:rFonts w:hint="cs"/>
          <w:rtl/>
        </w:rPr>
        <w:t>ה</w:t>
      </w:r>
    </w:p>
    <w:p w:rsidR="00237A92" w:rsidRPr="000C5E55" w:rsidRDefault="00237A92" w:rsidP="00237A92">
      <w:pPr>
        <w:rPr>
          <w:rFonts w:hint="cs"/>
          <w:rtl/>
        </w:rPr>
      </w:pPr>
      <w:r w:rsidRPr="000C5E55">
        <w:rPr>
          <w:rFonts w:hint="cs"/>
          <w:rtl/>
        </w:rPr>
        <w:t>וראת התורה ליסוד בנין חיי הנישואין היא "כי יקח איש אשה חדשה... נקי יהיה לביתו שנה אחת ושמח את אשתו אשר לקח"</w:t>
      </w:r>
      <w:r w:rsidRPr="008636EE">
        <w:rPr>
          <w:rStyle w:val="a3"/>
          <w:rtl/>
        </w:rPr>
        <w:endnoteReference w:id="1"/>
      </w:r>
      <w:r w:rsidRPr="000C5E55">
        <w:rPr>
          <w:rFonts w:hint="cs"/>
          <w:rtl/>
        </w:rPr>
        <w:t>. דימוי עיקרי של האשה הוא הלבנה</w:t>
      </w:r>
      <w:bookmarkStart w:id="2" w:name="_Ref301993880"/>
      <w:r w:rsidRPr="008636EE">
        <w:rPr>
          <w:rStyle w:val="a3"/>
          <w:rtl/>
        </w:rPr>
        <w:endnoteReference w:id="2"/>
      </w:r>
      <w:bookmarkEnd w:id="2"/>
      <w:r w:rsidRPr="000C5E55">
        <w:rPr>
          <w:rFonts w:hint="cs"/>
          <w:rtl/>
        </w:rPr>
        <w:t>, והכינוי "אשה חדשה" רומז לכך שיש להתייחס אליה בראשית הנישואין כלבנה בהתחדשותה, כאשר עליה להתמלא, להתפתח ולהתחדש</w:t>
      </w:r>
      <w:r w:rsidRPr="008636EE">
        <w:rPr>
          <w:rStyle w:val="a3"/>
          <w:rtl/>
        </w:rPr>
        <w:endnoteReference w:id="3"/>
      </w:r>
      <w:r w:rsidRPr="000C5E55">
        <w:rPr>
          <w:rFonts w:hint="cs"/>
          <w:rtl/>
        </w:rPr>
        <w:t>. אמנם, צד לא פחות חשוב של המשוואה הזו הוא דימוי האיש לשמש</w:t>
      </w:r>
      <w:r w:rsidRPr="0093645F">
        <w:rPr>
          <w:rStyle w:val="a7"/>
          <w:rtl/>
        </w:rPr>
        <w:fldChar w:fldCharType="begin"/>
      </w:r>
      <w:r w:rsidRPr="0093645F">
        <w:rPr>
          <w:rStyle w:val="a7"/>
          <w:rtl/>
        </w:rPr>
        <w:instrText xml:space="preserve"> </w:instrText>
      </w:r>
      <w:r w:rsidRPr="0093645F">
        <w:rPr>
          <w:rStyle w:val="a7"/>
          <w:rFonts w:hint="cs"/>
        </w:rPr>
        <w:instrText>NOTEREF</w:instrText>
      </w:r>
      <w:r w:rsidRPr="0093645F">
        <w:rPr>
          <w:rStyle w:val="a7"/>
          <w:rFonts w:hint="cs"/>
          <w:rtl/>
        </w:rPr>
        <w:instrText xml:space="preserve"> _</w:instrText>
      </w:r>
      <w:r w:rsidRPr="0093645F">
        <w:rPr>
          <w:rStyle w:val="a7"/>
          <w:rFonts w:hint="cs"/>
        </w:rPr>
        <w:instrText>Ref301993880 \h</w:instrText>
      </w:r>
      <w:r w:rsidRPr="0093645F">
        <w:rPr>
          <w:rStyle w:val="a7"/>
          <w:rtl/>
        </w:rPr>
        <w:instrText xml:space="preserve"> </w:instrText>
      </w:r>
      <w:r w:rsidRPr="0093645F">
        <w:rPr>
          <w:rStyle w:val="a7"/>
        </w:rPr>
      </w:r>
      <w:r>
        <w:rPr>
          <w:rStyle w:val="a7"/>
        </w:rPr>
        <w:instrText xml:space="preserve"> \* MERGEFORMAT </w:instrText>
      </w:r>
      <w:r w:rsidRPr="0093645F">
        <w:rPr>
          <w:rStyle w:val="a7"/>
          <w:rtl/>
        </w:rPr>
        <w:fldChar w:fldCharType="separate"/>
      </w:r>
      <w:r>
        <w:rPr>
          <w:rStyle w:val="a7"/>
          <w:rtl/>
        </w:rPr>
        <w:t>ב</w:t>
      </w:r>
      <w:r w:rsidRPr="0093645F">
        <w:rPr>
          <w:rStyle w:val="a7"/>
          <w:rtl/>
        </w:rPr>
        <w:fldChar w:fldCharType="end"/>
      </w:r>
      <w:r w:rsidRPr="000C5E55">
        <w:rPr>
          <w:rFonts w:hint="cs"/>
          <w:rtl/>
        </w:rPr>
        <w:t>. הלבנה מצד עצמה "לית לה מגרמה כלום"</w:t>
      </w:r>
      <w:r w:rsidRPr="008636EE">
        <w:rPr>
          <w:rStyle w:val="a3"/>
          <w:rtl/>
        </w:rPr>
        <w:endnoteReference w:id="4"/>
      </w:r>
      <w:r w:rsidRPr="000C5E55">
        <w:rPr>
          <w:rFonts w:hint="cs"/>
          <w:rtl/>
        </w:rPr>
        <w:t xml:space="preserve"> וכל חידושה ומילואה באים לה מהשמש. אם כן, התפתחותה של האשה בחיי הנישואין תלויה מאד בנכונות האיש להאיר לה ולפתח אותה. על גבי הארת האיש-השמש, האשה-הלבנה לוקחת את האור המושקע בה, משביחה אותו והופכת אותו לאור עצמי שלה</w:t>
      </w:r>
      <w:r w:rsidRPr="008636EE">
        <w:rPr>
          <w:rStyle w:val="a3"/>
          <w:rtl/>
        </w:rPr>
        <w:endnoteReference w:id="5"/>
      </w:r>
      <w:r w:rsidRPr="000C5E55">
        <w:rPr>
          <w:rFonts w:hint="cs"/>
          <w:rtl/>
        </w:rPr>
        <w:t>.</w:t>
      </w:r>
    </w:p>
    <w:p w:rsidR="00237A92" w:rsidRPr="000C5E55" w:rsidRDefault="00237A92" w:rsidP="00237A92">
      <w:pPr>
        <w:rPr>
          <w:rFonts w:hint="cs"/>
          <w:rtl/>
        </w:rPr>
      </w:pPr>
      <w:r w:rsidRPr="000C5E55">
        <w:rPr>
          <w:rFonts w:hint="cs"/>
          <w:rtl/>
        </w:rPr>
        <w:t>והנה, מדרושי החסידות עולה כי חידוש אמתי הוא בעצם מציאות חדשה, כזו שכלל לא היתה קודם לכן בגדר מציאות. כך מוסבר</w:t>
      </w:r>
      <w:r w:rsidRPr="008636EE">
        <w:rPr>
          <w:rStyle w:val="a3"/>
          <w:rtl/>
        </w:rPr>
        <w:endnoteReference w:id="6"/>
      </w:r>
      <w:r w:rsidRPr="000C5E55">
        <w:rPr>
          <w:rFonts w:hint="cs"/>
          <w:rtl/>
        </w:rPr>
        <w:t xml:space="preserve"> כי "אור חדש"</w:t>
      </w:r>
      <w:r w:rsidRPr="008636EE">
        <w:rPr>
          <w:rStyle w:val="a3"/>
          <w:rtl/>
        </w:rPr>
        <w:endnoteReference w:id="7"/>
      </w:r>
      <w:r w:rsidRPr="000C5E55">
        <w:rPr>
          <w:rFonts w:hint="cs"/>
          <w:rtl/>
        </w:rPr>
        <w:t xml:space="preserve"> איננו אור שעבר חידוש, רענון או התפתחות, אלא משהו ש"חדש להיות אור". כלומר, מה שקודם היה נעלם לחלוטין בעצמות ומעולם לא התגלה כאור, עד לרגע החידוש. באופן דומה יש להסביר גם את המושג "אשה חדשה" כ"חדשה להיות אשה": </w:t>
      </w:r>
    </w:p>
    <w:p w:rsidR="00237A92" w:rsidRPr="000C5E55" w:rsidRDefault="00237A92" w:rsidP="00237A92">
      <w:pPr>
        <w:rPr>
          <w:rFonts w:hint="cs"/>
          <w:rtl/>
        </w:rPr>
      </w:pPr>
      <w:r w:rsidRPr="000C5E55">
        <w:rPr>
          <w:rFonts w:hint="cs"/>
          <w:rtl/>
        </w:rPr>
        <w:t xml:space="preserve">יש בנות שאינן 'נשיות' בטבען ובאופיין, דבר שפעמים רבות אף מרתיע בחורים בשידוכים. המושג 'נשיות' פתוח כמובן לפרשנויות רבות. לעתים בחורה נתפסת כ'לא נשית' משום שהיא למדנית או שכלתנית באופייה, לעתים בגלל היותה פעלתנית ובעלת יזמה, לעתים משום שאינה משקיעה את ראשה ורובה בטפוח חיצוני ולעתים משום שאינה תלותית ובעלת דעת קלה... אכן, על האיש לדעת כי גם אם הבחורה אינה כלל בגדר "אשה" לפני החתונה, היא עתידה להיות "אשה חדשה" מיד לאחריה אם הוא רק ישקיע בה כדבעי. </w:t>
      </w:r>
    </w:p>
    <w:p w:rsidR="00237A92" w:rsidRPr="000C5E55" w:rsidRDefault="00237A92" w:rsidP="00237A92">
      <w:pPr>
        <w:rPr>
          <w:rFonts w:hint="cs"/>
          <w:rtl/>
        </w:rPr>
      </w:pPr>
      <w:r w:rsidRPr="000C5E55">
        <w:rPr>
          <w:rFonts w:hint="cs"/>
          <w:rtl/>
        </w:rPr>
        <w:lastRenderedPageBreak/>
        <w:t>כדי שתתחדש אצל הבחורה בחינת "אשה חדשה" מהעלם עצמותה ("העלם שאינו במציאות" בלשון החסידות</w:t>
      </w:r>
      <w:r w:rsidRPr="008636EE">
        <w:rPr>
          <w:rStyle w:val="a3"/>
          <w:rtl/>
        </w:rPr>
        <w:endnoteReference w:id="8"/>
      </w:r>
      <w:r w:rsidRPr="000C5E55">
        <w:rPr>
          <w:rFonts w:hint="cs"/>
          <w:rtl/>
        </w:rPr>
        <w:t>) על האיש לכוון לכך בעת הליקוחין, "כי יקח", תוך כדי שהוא מקבל על עצמו לקיים בשלמות "ושמח את אשתו שנה אחת" בעיקר בתחום שבינו לבינה. ככל שהאיש מצליח לשמח את אשתו ב"דבר מצוה"</w:t>
      </w:r>
      <w:r w:rsidRPr="008636EE">
        <w:rPr>
          <w:rStyle w:val="a3"/>
          <w:rtl/>
        </w:rPr>
        <w:endnoteReference w:id="9"/>
      </w:r>
      <w:r w:rsidRPr="000C5E55">
        <w:rPr>
          <w:rFonts w:hint="cs"/>
          <w:rtl/>
        </w:rPr>
        <w:t xml:space="preserve"> כך הוא עוזר לה לחשוף בעצמה את הפן הנשי שלה</w:t>
      </w:r>
      <w:r w:rsidRPr="008636EE">
        <w:rPr>
          <w:rStyle w:val="a3"/>
          <w:rtl/>
        </w:rPr>
        <w:endnoteReference w:id="10"/>
      </w:r>
      <w:r w:rsidRPr="000C5E55">
        <w:rPr>
          <w:rFonts w:hint="cs"/>
          <w:rtl/>
        </w:rPr>
        <w:t>. ומי שהחסיר בענין זה בשנה הראשונה, ולא שמח את אשתו "שנה אחת" רצופה ומלאה, עליו להשלים זאת במשך כל חיי הנישואין...</w:t>
      </w:r>
    </w:p>
    <w:p w:rsidR="005F4A47" w:rsidRDefault="00237A92" w:rsidP="00237A92">
      <w:r w:rsidRPr="000C5E55">
        <w:rPr>
          <w:rFonts w:hint="cs"/>
          <w:rtl/>
        </w:rPr>
        <w:t>תופעה זו קשורה במיוחד למקרים בהם מגיעים בני הזוג להחלטה להתחתן על פי קביעת השכל, ללא גילוי מובהק של משיכת הלב</w:t>
      </w:r>
      <w:r w:rsidRPr="008636EE">
        <w:rPr>
          <w:rStyle w:val="a3"/>
          <w:rtl/>
        </w:rPr>
        <w:endnoteReference w:id="11"/>
      </w:r>
      <w:r w:rsidRPr="000C5E55">
        <w:rPr>
          <w:rFonts w:hint="cs"/>
          <w:rtl/>
        </w:rPr>
        <w:t>. שהרי, היחס בין איש ואשה הוא עצמו יחס בין מח ללב</w:t>
      </w:r>
      <w:r w:rsidRPr="008636EE">
        <w:rPr>
          <w:rStyle w:val="a3"/>
          <w:rtl/>
        </w:rPr>
        <w:endnoteReference w:id="12"/>
      </w:r>
      <w:r w:rsidRPr="000C5E55">
        <w:rPr>
          <w:rFonts w:hint="cs"/>
          <w:rtl/>
        </w:rPr>
        <w:t xml:space="preserve">, וכאשר האשה אינה 'נשית' מספיק יש גם חסרון במשיכת הלב. אכן, מתוך כוונה והחלטה הנכונה, אפשר להתחיל לחוש מרגע הקידושין כי "זאת </w:t>
      </w:r>
      <w:r w:rsidRPr="00D91656">
        <w:rPr>
          <w:rStyle w:val="a4"/>
          <w:rFonts w:hint="cs"/>
          <w:rtl/>
        </w:rPr>
        <w:t>הפעם</w:t>
      </w:r>
      <w:r w:rsidRPr="000C5E55">
        <w:rPr>
          <w:rFonts w:hint="cs"/>
          <w:rtl/>
        </w:rPr>
        <w:t xml:space="preserve"> עצם מעצמי ובשר מבשרי, לזאת יקרא אשה כי מאיש לֻקחה זאת"</w:t>
      </w:r>
      <w:r w:rsidRPr="008636EE">
        <w:rPr>
          <w:rStyle w:val="a3"/>
          <w:rtl/>
        </w:rPr>
        <w:endnoteReference w:id="13"/>
      </w:r>
      <w:r w:rsidRPr="000C5E55">
        <w:rPr>
          <w:rFonts w:hint="cs"/>
          <w:rtl/>
        </w:rPr>
        <w:t xml:space="preserve"> </w:t>
      </w:r>
      <w:r w:rsidRPr="000C5E55">
        <w:rPr>
          <w:rtl/>
        </w:rPr>
        <w:t>–</w:t>
      </w:r>
      <w:r w:rsidRPr="000C5E55">
        <w:rPr>
          <w:rFonts w:hint="cs"/>
          <w:rtl/>
        </w:rPr>
        <w:t xml:space="preserve"> "זאת" מעוררת </w:t>
      </w:r>
      <w:r w:rsidRPr="00D91656">
        <w:rPr>
          <w:rStyle w:val="a4"/>
          <w:rFonts w:hint="cs"/>
          <w:rtl/>
        </w:rPr>
        <w:t>פעימת</w:t>
      </w:r>
      <w:r w:rsidRPr="000C5E55">
        <w:rPr>
          <w:rFonts w:hint="cs"/>
          <w:rtl/>
        </w:rPr>
        <w:t xml:space="preserve"> לב</w:t>
      </w:r>
      <w:r w:rsidRPr="008636EE">
        <w:rPr>
          <w:rStyle w:val="a3"/>
          <w:rtl/>
        </w:rPr>
        <w:endnoteReference w:id="14"/>
      </w:r>
      <w:r w:rsidRPr="000C5E55">
        <w:rPr>
          <w:rFonts w:hint="cs"/>
          <w:rtl/>
        </w:rPr>
        <w:t xml:space="preserve"> כי מרגע ה"כי </w:t>
      </w:r>
      <w:r w:rsidRPr="00D91656">
        <w:rPr>
          <w:rStyle w:val="a4"/>
          <w:rFonts w:hint="cs"/>
          <w:rtl/>
        </w:rPr>
        <w:t>יקח</w:t>
      </w:r>
      <w:r w:rsidRPr="000C5E55">
        <w:rPr>
          <w:rFonts w:hint="cs"/>
          <w:rtl/>
        </w:rPr>
        <w:t>" מופיעה עצם הנשיות החדשה שלה, אשר "</w:t>
      </w:r>
      <w:r w:rsidRPr="00D91656">
        <w:rPr>
          <w:rStyle w:val="a4"/>
          <w:rFonts w:hint="cs"/>
          <w:rtl/>
        </w:rPr>
        <w:t>לֻקחה</w:t>
      </w:r>
      <w:r w:rsidRPr="000C5E55">
        <w:rPr>
          <w:rFonts w:hint="cs"/>
          <w:rtl/>
        </w:rPr>
        <w:t>" מהאיש, תלויה בהשקעתו בה ומכחו "לזאת יקרא אשה [חדשה]".</w:t>
      </w:r>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4FD" w:rsidRDefault="008C34FD" w:rsidP="00237A92">
      <w:pPr>
        <w:spacing w:after="0" w:line="240" w:lineRule="auto"/>
      </w:pPr>
      <w:r>
        <w:separator/>
      </w:r>
    </w:p>
  </w:endnote>
  <w:endnote w:type="continuationSeparator" w:id="0">
    <w:p w:rsidR="008C34FD" w:rsidRDefault="008C34FD" w:rsidP="00237A92">
      <w:pPr>
        <w:spacing w:after="0" w:line="240" w:lineRule="auto"/>
      </w:pPr>
      <w:r>
        <w:continuationSeparator/>
      </w:r>
    </w:p>
  </w:endnote>
  <w:endnote w:id="1">
    <w:p w:rsidR="00237A92" w:rsidRDefault="00237A92" w:rsidP="00237A92">
      <w:pPr>
        <w:pStyle w:val="a5"/>
        <w:rPr>
          <w:rFonts w:hint="cs"/>
        </w:rPr>
      </w:pPr>
      <w:r>
        <w:rPr>
          <w:rtl/>
        </w:rPr>
        <w:tab/>
      </w:r>
      <w:r w:rsidRPr="00944A81">
        <w:rPr>
          <w:rtl/>
        </w:rPr>
        <w:endnoteRef/>
      </w:r>
      <w:r>
        <w:rPr>
          <w:rtl/>
        </w:rPr>
        <w:t>.</w:t>
      </w:r>
      <w:r>
        <w:rPr>
          <w:rtl/>
        </w:rPr>
        <w:tab/>
      </w:r>
      <w:r>
        <w:rPr>
          <w:rFonts w:hint="cs"/>
          <w:rtl/>
        </w:rPr>
        <w:t>דברים כד, ה.</w:t>
      </w:r>
    </w:p>
  </w:endnote>
  <w:endnote w:id="2">
    <w:p w:rsidR="00237A92" w:rsidRDefault="00237A92" w:rsidP="00237A92">
      <w:pPr>
        <w:pStyle w:val="a5"/>
        <w:rPr>
          <w:rFonts w:hint="cs"/>
        </w:rPr>
      </w:pPr>
      <w:r>
        <w:rPr>
          <w:rtl/>
        </w:rPr>
        <w:tab/>
      </w:r>
      <w:r w:rsidRPr="00944A81">
        <w:rPr>
          <w:rtl/>
        </w:rPr>
        <w:endnoteRef/>
      </w:r>
      <w:r>
        <w:rPr>
          <w:rtl/>
        </w:rPr>
        <w:t>.</w:t>
      </w:r>
      <w:r>
        <w:rPr>
          <w:rtl/>
        </w:rPr>
        <w:tab/>
      </w:r>
      <w:r>
        <w:rPr>
          <w:rFonts w:hint="cs"/>
          <w:rtl/>
        </w:rPr>
        <w:t>ראה גם בשאר התורות בשער זה (ובנסמן בתחלת התורה הבאה).</w:t>
      </w:r>
    </w:p>
  </w:endnote>
  <w:endnote w:id="3">
    <w:p w:rsidR="00237A92" w:rsidRDefault="00237A92" w:rsidP="00237A92">
      <w:pPr>
        <w:pStyle w:val="a5"/>
        <w:rPr>
          <w:rFonts w:hint="cs"/>
          <w:rtl/>
        </w:rPr>
      </w:pPr>
      <w:r>
        <w:rPr>
          <w:rtl/>
        </w:rPr>
        <w:tab/>
      </w:r>
      <w:r w:rsidRPr="00944A81">
        <w:rPr>
          <w:rtl/>
        </w:rPr>
        <w:endnoteRef/>
      </w:r>
      <w:r>
        <w:rPr>
          <w:rtl/>
        </w:rPr>
        <w:t>.</w:t>
      </w:r>
      <w:r>
        <w:rPr>
          <w:rtl/>
        </w:rPr>
        <w:tab/>
      </w:r>
      <w:r>
        <w:rPr>
          <w:rFonts w:hint="cs"/>
          <w:rtl/>
        </w:rPr>
        <w:t>כמבואר באריכות בתורה הקודמת.</w:t>
      </w:r>
    </w:p>
  </w:endnote>
  <w:endnote w:id="4">
    <w:p w:rsidR="00237A92" w:rsidRPr="009E304E" w:rsidRDefault="00237A92" w:rsidP="00237A92">
      <w:pPr>
        <w:pStyle w:val="a5"/>
        <w:rPr>
          <w:rFonts w:hint="cs"/>
          <w:rtl/>
        </w:rPr>
      </w:pPr>
      <w:r>
        <w:rPr>
          <w:rtl/>
        </w:rPr>
        <w:tab/>
      </w:r>
      <w:r w:rsidRPr="00944A81">
        <w:rPr>
          <w:rtl/>
        </w:rPr>
        <w:endnoteRef/>
      </w:r>
      <w:r>
        <w:rPr>
          <w:rtl/>
        </w:rPr>
        <w:t>.</w:t>
      </w:r>
      <w:r>
        <w:rPr>
          <w:rtl/>
        </w:rPr>
        <w:tab/>
      </w:r>
      <w:r>
        <w:rPr>
          <w:rFonts w:hint="cs"/>
          <w:rtl/>
        </w:rPr>
        <w:t xml:space="preserve">זהר ח"ב </w:t>
      </w:r>
      <w:r>
        <w:rPr>
          <w:rtl/>
        </w:rPr>
        <w:t>קמה, ב</w:t>
      </w:r>
      <w:r>
        <w:rPr>
          <w:rFonts w:hint="cs"/>
          <w:rtl/>
        </w:rPr>
        <w:t xml:space="preserve"> ובכ"ד</w:t>
      </w:r>
      <w:r w:rsidRPr="009E304E">
        <w:rPr>
          <w:rtl/>
        </w:rPr>
        <w:t>.</w:t>
      </w:r>
    </w:p>
  </w:endnote>
  <w:endnote w:id="5">
    <w:p w:rsidR="00237A92" w:rsidRDefault="00237A92" w:rsidP="00237A92">
      <w:pPr>
        <w:pStyle w:val="a5"/>
        <w:rPr>
          <w:rFonts w:hint="cs"/>
        </w:rPr>
      </w:pPr>
      <w:r>
        <w:rPr>
          <w:rtl/>
        </w:rPr>
        <w:tab/>
      </w:r>
      <w:r w:rsidRPr="00944A81">
        <w:rPr>
          <w:rtl/>
        </w:rPr>
        <w:endnoteRef/>
      </w:r>
      <w:r>
        <w:rPr>
          <w:rtl/>
        </w:rPr>
        <w:t>.</w:t>
      </w:r>
      <w:r>
        <w:rPr>
          <w:rtl/>
        </w:rPr>
        <w:tab/>
      </w:r>
      <w:r>
        <w:rPr>
          <w:rFonts w:hint="cs"/>
          <w:rtl/>
        </w:rPr>
        <w:t>ראה גם יין משמח ח"ג שער ג בתורה "איהו ברוך ואיהי ברכה".</w:t>
      </w:r>
    </w:p>
  </w:endnote>
  <w:endnote w:id="6">
    <w:p w:rsidR="00237A92" w:rsidRDefault="00237A92" w:rsidP="00237A92">
      <w:pPr>
        <w:pStyle w:val="a5"/>
        <w:rPr>
          <w:rFonts w:hint="cs"/>
          <w:rtl/>
        </w:rPr>
      </w:pPr>
      <w:r>
        <w:rPr>
          <w:rtl/>
        </w:rPr>
        <w:tab/>
      </w:r>
      <w:r w:rsidRPr="00944A81">
        <w:rPr>
          <w:rtl/>
        </w:rPr>
        <w:endnoteRef/>
      </w:r>
      <w:r>
        <w:rPr>
          <w:rtl/>
        </w:rPr>
        <w:t>.</w:t>
      </w:r>
      <w:r>
        <w:rPr>
          <w:rtl/>
        </w:rPr>
        <w:tab/>
      </w:r>
      <w:r>
        <w:rPr>
          <w:rFonts w:hint="cs"/>
          <w:rtl/>
        </w:rPr>
        <w:t>מאמר "הרכבת אנוש לראשנו" לרבי הלל מפאריטש זצ"ל ובסיום ביאורו על הקדמת דרך חיים (וראה גם יין משמח ח"ג שער ו בתורה "ישת חשך סתרו").</w:t>
      </w:r>
    </w:p>
  </w:endnote>
  <w:endnote w:id="7">
    <w:p w:rsidR="00237A92" w:rsidRDefault="00237A92" w:rsidP="00237A92">
      <w:pPr>
        <w:pStyle w:val="a5"/>
        <w:rPr>
          <w:rFonts w:hint="cs"/>
          <w:rtl/>
        </w:rPr>
      </w:pPr>
      <w:r>
        <w:rPr>
          <w:rtl/>
        </w:rPr>
        <w:tab/>
      </w:r>
      <w:r w:rsidRPr="00944A81">
        <w:rPr>
          <w:rtl/>
        </w:rPr>
        <w:endnoteRef/>
      </w:r>
      <w:r>
        <w:rPr>
          <w:rtl/>
        </w:rPr>
        <w:t>.</w:t>
      </w:r>
      <w:r>
        <w:rPr>
          <w:rtl/>
        </w:rPr>
        <w:tab/>
      </w:r>
      <w:r>
        <w:rPr>
          <w:rFonts w:hint="cs"/>
          <w:rtl/>
        </w:rPr>
        <w:t>מתוך ברכת "יוצר אור" (בחלק מהנוסחים).</w:t>
      </w:r>
    </w:p>
  </w:endnote>
  <w:endnote w:id="8">
    <w:p w:rsidR="00237A92" w:rsidRDefault="00237A92" w:rsidP="00237A92">
      <w:pPr>
        <w:pStyle w:val="a5"/>
        <w:rPr>
          <w:rFonts w:hint="cs"/>
          <w:rtl/>
        </w:rPr>
      </w:pPr>
      <w:r>
        <w:rPr>
          <w:rtl/>
        </w:rPr>
        <w:tab/>
      </w:r>
      <w:r w:rsidRPr="00944A81">
        <w:rPr>
          <w:rtl/>
        </w:rPr>
        <w:endnoteRef/>
      </w:r>
      <w:r>
        <w:rPr>
          <w:rtl/>
        </w:rPr>
        <w:t>.</w:t>
      </w:r>
      <w:r>
        <w:rPr>
          <w:rtl/>
        </w:rPr>
        <w:tab/>
      </w:r>
      <w:r w:rsidRPr="001D28F0">
        <w:rPr>
          <w:rtl/>
        </w:rPr>
        <w:t>ראה בארוכה ד"ה ואברהם זק</w:t>
      </w:r>
      <w:r>
        <w:rPr>
          <w:rtl/>
        </w:rPr>
        <w:t>ן תרס"ו (המשך תרס"ו ע' פ ואילך)</w:t>
      </w:r>
      <w:r w:rsidRPr="001D28F0">
        <w:rPr>
          <w:rtl/>
        </w:rPr>
        <w:t xml:space="preserve"> ובכ"</w:t>
      </w:r>
      <w:r>
        <w:rPr>
          <w:rFonts w:hint="cs"/>
          <w:rtl/>
        </w:rPr>
        <w:t>ד. וראה בעומק בענין זה גם יין משמח ח"ב שער ז בתורות "אמון בכח בן הזוג" ו"ישיש עליך... כמשוש חתן על כלה" (ודוק גם שם בשער ג בתורה "הסח הדעת").</w:t>
      </w:r>
    </w:p>
  </w:endnote>
  <w:endnote w:id="9">
    <w:p w:rsidR="00237A92" w:rsidRDefault="00237A92" w:rsidP="00237A92">
      <w:pPr>
        <w:pStyle w:val="a5"/>
        <w:rPr>
          <w:rFonts w:hint="cs"/>
          <w:rtl/>
        </w:rPr>
      </w:pPr>
      <w:r>
        <w:rPr>
          <w:rtl/>
        </w:rPr>
        <w:tab/>
      </w:r>
      <w:r w:rsidRPr="00944A81">
        <w:rPr>
          <w:rtl/>
        </w:rPr>
        <w:endnoteRef/>
      </w:r>
      <w:r>
        <w:rPr>
          <w:rtl/>
        </w:rPr>
        <w:t>.</w:t>
      </w:r>
      <w:r>
        <w:rPr>
          <w:rtl/>
        </w:rPr>
        <w:tab/>
      </w:r>
      <w:r>
        <w:rPr>
          <w:rFonts w:hint="cs"/>
          <w:rtl/>
        </w:rPr>
        <w:t>ראה עירובין ק, ב.</w:t>
      </w:r>
    </w:p>
  </w:endnote>
  <w:endnote w:id="10">
    <w:p w:rsidR="00237A92" w:rsidRDefault="00237A92" w:rsidP="00237A92">
      <w:pPr>
        <w:pStyle w:val="a5"/>
        <w:rPr>
          <w:rFonts w:hint="cs"/>
          <w:rtl/>
        </w:rPr>
      </w:pPr>
      <w:r>
        <w:rPr>
          <w:rtl/>
        </w:rPr>
        <w:tab/>
      </w:r>
      <w:r w:rsidRPr="00944A81">
        <w:rPr>
          <w:rtl/>
        </w:rPr>
        <w:endnoteRef/>
      </w:r>
      <w:r>
        <w:rPr>
          <w:rtl/>
        </w:rPr>
        <w:t>.</w:t>
      </w:r>
      <w:r>
        <w:rPr>
          <w:rtl/>
        </w:rPr>
        <w:tab/>
      </w:r>
      <w:r>
        <w:rPr>
          <w:rFonts w:hint="cs"/>
          <w:rtl/>
        </w:rPr>
        <w:t>וראה גם יין משמח ח"א שער ז בתורה "ליל הכלולות".</w:t>
      </w:r>
    </w:p>
  </w:endnote>
  <w:endnote w:id="11">
    <w:p w:rsidR="00237A92" w:rsidRDefault="00237A92" w:rsidP="00237A92">
      <w:pPr>
        <w:pStyle w:val="a5"/>
        <w:rPr>
          <w:rFonts w:hint="cs"/>
          <w:rtl/>
        </w:rPr>
      </w:pPr>
      <w:r>
        <w:rPr>
          <w:rtl/>
        </w:rPr>
        <w:tab/>
      </w:r>
      <w:r w:rsidRPr="00944A81">
        <w:rPr>
          <w:rtl/>
        </w:rPr>
        <w:endnoteRef/>
      </w:r>
      <w:r>
        <w:rPr>
          <w:rtl/>
        </w:rPr>
        <w:t>.</w:t>
      </w:r>
      <w:r>
        <w:rPr>
          <w:rtl/>
        </w:rPr>
        <w:tab/>
      </w:r>
      <w:r>
        <w:rPr>
          <w:rFonts w:hint="cs"/>
          <w:rtl/>
        </w:rPr>
        <w:t>וראה גם בתורה הקודמת ובנסמן שם.</w:t>
      </w:r>
    </w:p>
  </w:endnote>
  <w:endnote w:id="12">
    <w:p w:rsidR="00237A92" w:rsidRDefault="00237A92" w:rsidP="00237A92">
      <w:pPr>
        <w:pStyle w:val="a5"/>
        <w:rPr>
          <w:rFonts w:hint="cs"/>
          <w:rtl/>
        </w:rPr>
      </w:pPr>
      <w:r>
        <w:rPr>
          <w:rtl/>
        </w:rPr>
        <w:tab/>
      </w:r>
      <w:r w:rsidRPr="00944A81">
        <w:rPr>
          <w:rtl/>
        </w:rPr>
        <w:endnoteRef/>
      </w:r>
      <w:r>
        <w:rPr>
          <w:rtl/>
        </w:rPr>
        <w:t>.</w:t>
      </w:r>
      <w:r>
        <w:rPr>
          <w:rtl/>
        </w:rPr>
        <w:tab/>
      </w:r>
      <w:r>
        <w:rPr>
          <w:rFonts w:hint="cs"/>
          <w:rtl/>
        </w:rPr>
        <w:t>ראה זהר ח"ג רכד, א (וראה גם יין משמח ח"ג שער ו בתורה "ישלח דברו וירפאם").</w:t>
      </w:r>
    </w:p>
  </w:endnote>
  <w:endnote w:id="13">
    <w:p w:rsidR="00237A92" w:rsidRDefault="00237A92" w:rsidP="00237A92">
      <w:pPr>
        <w:pStyle w:val="a5"/>
        <w:rPr>
          <w:rFonts w:hint="cs"/>
          <w:rtl/>
        </w:rPr>
      </w:pPr>
      <w:r>
        <w:rPr>
          <w:rtl/>
        </w:rPr>
        <w:tab/>
      </w:r>
      <w:r w:rsidRPr="00944A81">
        <w:rPr>
          <w:rtl/>
        </w:rPr>
        <w:endnoteRef/>
      </w:r>
      <w:r>
        <w:rPr>
          <w:rtl/>
        </w:rPr>
        <w:t>.</w:t>
      </w:r>
      <w:r>
        <w:rPr>
          <w:rtl/>
        </w:rPr>
        <w:tab/>
      </w:r>
      <w:r>
        <w:rPr>
          <w:rFonts w:hint="cs"/>
          <w:rtl/>
        </w:rPr>
        <w:t>בראשית ב, כג (וראה באורך בביאור פסוק זה בהקדמת הספר שכינה ביניהם הערה א).</w:t>
      </w:r>
    </w:p>
  </w:endnote>
  <w:endnote w:id="14">
    <w:p w:rsidR="00237A92" w:rsidRDefault="00237A92" w:rsidP="00237A92">
      <w:pPr>
        <w:pStyle w:val="a5"/>
        <w:rPr>
          <w:rFonts w:hint="cs"/>
          <w:rtl/>
        </w:rPr>
      </w:pPr>
      <w:r>
        <w:rPr>
          <w:rtl/>
        </w:rPr>
        <w:tab/>
      </w:r>
      <w:r w:rsidRPr="00944A81">
        <w:rPr>
          <w:rtl/>
        </w:rPr>
        <w:endnoteRef/>
      </w:r>
      <w:r>
        <w:rPr>
          <w:rtl/>
        </w:rPr>
        <w:t>.</w:t>
      </w:r>
      <w:r>
        <w:rPr>
          <w:rtl/>
        </w:rPr>
        <w:tab/>
      </w:r>
      <w:r>
        <w:rPr>
          <w:rFonts w:hint="cs"/>
          <w:rtl/>
        </w:rPr>
        <w:t>ראה גם יין משמח ח"ג שער ב בתורה "הולם פעם" ומחול הכרמים עמ' מה הערה ה.</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rFrank">
    <w:altName w:val="Courier New"/>
    <w:charset w:val="00"/>
    <w:family w:val="auto"/>
    <w:pitch w:val="variable"/>
    <w:sig w:usb0="00000000" w:usb1="5000004A"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4FD" w:rsidRDefault="008C34FD" w:rsidP="00237A92">
      <w:pPr>
        <w:spacing w:after="0" w:line="240" w:lineRule="auto"/>
      </w:pPr>
      <w:r>
        <w:separator/>
      </w:r>
    </w:p>
  </w:footnote>
  <w:footnote w:type="continuationSeparator" w:id="0">
    <w:p w:rsidR="008C34FD" w:rsidRDefault="008C34FD" w:rsidP="00237A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5E4"/>
    <w:rsid w:val="00061E65"/>
    <w:rsid w:val="00237A92"/>
    <w:rsid w:val="008C34FD"/>
    <w:rsid w:val="00AB15E4"/>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237A92"/>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237A92"/>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237A92"/>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237A92"/>
    <w:rPr>
      <w:noProof/>
      <w:position w:val="-4"/>
      <w:szCs w:val="26"/>
      <w:vertAlign w:val="superscript"/>
    </w:rPr>
  </w:style>
  <w:style w:type="character" w:customStyle="1" w:styleId="a4">
    <w:name w:val="מרים"/>
    <w:basedOn w:val="a0"/>
    <w:rsid w:val="00237A92"/>
    <w:rPr>
      <w:rFonts w:cs="MiriamMFO"/>
      <w:w w:val="100"/>
      <w:sz w:val="21"/>
      <w:szCs w:val="23"/>
    </w:rPr>
  </w:style>
  <w:style w:type="paragraph" w:styleId="a5">
    <w:name w:val="endnote text"/>
    <w:aliases w:val="Endnote Text"/>
    <w:basedOn w:val="a"/>
    <w:link w:val="a6"/>
    <w:semiHidden/>
    <w:rsid w:val="00237A92"/>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237A92"/>
    <w:rPr>
      <w:rFonts w:ascii="Times New Roman" w:eastAsia="Times New Roman" w:hAnsi="Times New Roman" w:cs="oprFrank"/>
      <w:sz w:val="20"/>
      <w:szCs w:val="23"/>
      <w:lang w:eastAsia="he-IL"/>
    </w:rPr>
  </w:style>
  <w:style w:type="character" w:styleId="a7">
    <w:name w:val="endnote reference"/>
    <w:aliases w:val="Endnote Reference"/>
    <w:basedOn w:val="a3"/>
    <w:semiHidden/>
    <w:rsid w:val="00237A92"/>
    <w:rPr>
      <w:noProof/>
      <w:position w:val="-4"/>
      <w:szCs w:val="27"/>
      <w:vertAlign w:val="superscript"/>
    </w:rPr>
  </w:style>
  <w:style w:type="paragraph" w:customStyle="1" w:styleId="a8">
    <w:name w:val="פתיח תו"/>
    <w:basedOn w:val="a"/>
    <w:link w:val="a9"/>
    <w:rsid w:val="00237A92"/>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237A92"/>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237A92"/>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237A92"/>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237A92"/>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237A92"/>
    <w:rPr>
      <w:noProof/>
      <w:position w:val="-4"/>
      <w:szCs w:val="26"/>
      <w:vertAlign w:val="superscript"/>
    </w:rPr>
  </w:style>
  <w:style w:type="character" w:customStyle="1" w:styleId="a4">
    <w:name w:val="מרים"/>
    <w:basedOn w:val="a0"/>
    <w:rsid w:val="00237A92"/>
    <w:rPr>
      <w:rFonts w:cs="MiriamMFO"/>
      <w:w w:val="100"/>
      <w:sz w:val="21"/>
      <w:szCs w:val="23"/>
    </w:rPr>
  </w:style>
  <w:style w:type="paragraph" w:styleId="a5">
    <w:name w:val="endnote text"/>
    <w:aliases w:val="Endnote Text"/>
    <w:basedOn w:val="a"/>
    <w:link w:val="a6"/>
    <w:semiHidden/>
    <w:rsid w:val="00237A92"/>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237A92"/>
    <w:rPr>
      <w:rFonts w:ascii="Times New Roman" w:eastAsia="Times New Roman" w:hAnsi="Times New Roman" w:cs="oprFrank"/>
      <w:sz w:val="20"/>
      <w:szCs w:val="23"/>
      <w:lang w:eastAsia="he-IL"/>
    </w:rPr>
  </w:style>
  <w:style w:type="character" w:styleId="a7">
    <w:name w:val="endnote reference"/>
    <w:aliases w:val="Endnote Reference"/>
    <w:basedOn w:val="a3"/>
    <w:semiHidden/>
    <w:rsid w:val="00237A92"/>
    <w:rPr>
      <w:noProof/>
      <w:position w:val="-4"/>
      <w:szCs w:val="27"/>
      <w:vertAlign w:val="superscript"/>
    </w:rPr>
  </w:style>
  <w:style w:type="paragraph" w:customStyle="1" w:styleId="a8">
    <w:name w:val="פתיח תו"/>
    <w:basedOn w:val="a"/>
    <w:link w:val="a9"/>
    <w:rsid w:val="00237A92"/>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237A92"/>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386</Words>
  <Characters>1933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2017-08-16T09:54:00Z</dcterms:created>
  <dcterms:modified xsi:type="dcterms:W3CDTF">2017-08-16T09:54:00Z</dcterms:modified>
</cp:coreProperties>
</file>