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9E" w:rsidRDefault="00AD499E" w:rsidP="00AD499E">
      <w:pPr>
        <w:pStyle w:val="2"/>
        <w:rPr>
          <w:rFonts w:hint="cs"/>
          <w:rtl/>
        </w:rPr>
      </w:pPr>
      <w:bookmarkStart w:id="0" w:name="_Toc302128604"/>
      <w:bookmarkStart w:id="1" w:name="_Ref302128970"/>
      <w:r>
        <w:rPr>
          <w:rFonts w:hint="cs"/>
          <w:rtl/>
        </w:rPr>
        <w:t>לשמור על הירח מלא</w:t>
      </w:r>
      <w:bookmarkEnd w:id="0"/>
      <w:bookmarkEnd w:id="1"/>
    </w:p>
    <w:p w:rsidR="00AD499E" w:rsidRPr="002E2CC9" w:rsidRDefault="00AD499E" w:rsidP="00AD499E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rtl/>
        </w:rPr>
      </w:pPr>
      <w:r w:rsidRPr="002E2CC9">
        <w:rPr>
          <w:rStyle w:val="a8"/>
          <w:rFonts w:hint="cs"/>
          <w:rtl/>
        </w:rPr>
        <w:t>ד</w:t>
      </w:r>
    </w:p>
    <w:p w:rsidR="00AD499E" w:rsidRDefault="00AD499E" w:rsidP="00AD499E">
      <w:pPr>
        <w:rPr>
          <w:rFonts w:hint="cs"/>
          <w:rtl/>
        </w:rPr>
      </w:pPr>
      <w:r>
        <w:rPr>
          <w:rFonts w:hint="cs"/>
          <w:rtl/>
        </w:rPr>
        <w:t>ימוי עיקרי של חתן וכלה הוא שמש וירח</w:t>
      </w:r>
      <w:r w:rsidRPr="008636EE">
        <w:rPr>
          <w:rStyle w:val="a3"/>
          <w:rtl/>
        </w:rPr>
        <w:endnoteReference w:id="1"/>
      </w:r>
      <w:r>
        <w:rPr>
          <w:rFonts w:hint="cs"/>
          <w:rtl/>
        </w:rPr>
        <w:t xml:space="preserve">, "שני </w:t>
      </w:r>
      <w:proofErr w:type="spellStart"/>
      <w:r>
        <w:rPr>
          <w:rFonts w:hint="cs"/>
          <w:rtl/>
        </w:rPr>
        <w:t>המאֹרֹת</w:t>
      </w:r>
      <w:proofErr w:type="spellEnd"/>
      <w:r>
        <w:rPr>
          <w:rFonts w:hint="cs"/>
          <w:rtl/>
        </w:rPr>
        <w:t xml:space="preserve"> הגדֹלים"</w:t>
      </w:r>
      <w:r w:rsidRPr="008636EE">
        <w:rPr>
          <w:rStyle w:val="a3"/>
          <w:rtl/>
        </w:rPr>
        <w:endnoteReference w:id="2"/>
      </w:r>
      <w:r>
        <w:rPr>
          <w:rFonts w:hint="cs"/>
          <w:rtl/>
        </w:rPr>
        <w:t>. לשני המאורות הגדולים יש שמות שונים בכל עולם ועולם: בעולם הבריאה הם נקראים שמש</w:t>
      </w:r>
      <w:r w:rsidRPr="008636EE">
        <w:rPr>
          <w:rStyle w:val="a3"/>
          <w:rtl/>
        </w:rPr>
        <w:endnoteReference w:id="3"/>
      </w:r>
      <w:r>
        <w:rPr>
          <w:rFonts w:hint="cs"/>
          <w:rtl/>
        </w:rPr>
        <w:t xml:space="preserve"> וירח</w:t>
      </w:r>
      <w:r w:rsidRPr="008636EE">
        <w:rPr>
          <w:rStyle w:val="a3"/>
          <w:rtl/>
        </w:rPr>
        <w:endnoteReference w:id="4"/>
      </w:r>
      <w:r>
        <w:rPr>
          <w:rFonts w:hint="cs"/>
          <w:rtl/>
        </w:rPr>
        <w:t>, בעולם היצירה הם נקראים חמה ולבנה</w:t>
      </w:r>
      <w:r w:rsidRPr="008636EE">
        <w:rPr>
          <w:rStyle w:val="a3"/>
          <w:rtl/>
        </w:rPr>
        <w:endnoteReference w:id="5"/>
      </w:r>
      <w:r>
        <w:rPr>
          <w:rFonts w:hint="cs"/>
          <w:rtl/>
        </w:rPr>
        <w:t xml:space="preserve"> ובעולם </w:t>
      </w:r>
      <w:proofErr w:type="spellStart"/>
      <w:r>
        <w:rPr>
          <w:rFonts w:hint="cs"/>
          <w:rtl/>
        </w:rPr>
        <w:t>העשיה</w:t>
      </w:r>
      <w:proofErr w:type="spellEnd"/>
      <w:r>
        <w:rPr>
          <w:rFonts w:hint="cs"/>
          <w:rtl/>
        </w:rPr>
        <w:t xml:space="preserve"> הם נקראים חרס וסהר</w:t>
      </w:r>
      <w:r w:rsidRPr="008636EE">
        <w:rPr>
          <w:rStyle w:val="a3"/>
          <w:rtl/>
        </w:rPr>
        <w:endnoteReference w:id="6"/>
      </w:r>
      <w:r>
        <w:rPr>
          <w:rFonts w:hint="cs"/>
          <w:rtl/>
        </w:rPr>
        <w:t xml:space="preserve">. אמנם, כל השמות הללו שייכים לטבע העולמות התחתונים ומושלים במי שנמצא תחת שליטת הכוכבים והמזלות "אשר חלק הוי' </w:t>
      </w:r>
      <w:proofErr w:type="spellStart"/>
      <w:r>
        <w:rPr>
          <w:rFonts w:hint="cs"/>
          <w:rtl/>
        </w:rPr>
        <w:t>אלֹהיך</w:t>
      </w:r>
      <w:proofErr w:type="spellEnd"/>
      <w:r>
        <w:rPr>
          <w:rFonts w:hint="cs"/>
          <w:rtl/>
        </w:rPr>
        <w:t xml:space="preserve"> אֹתם לכל העמים תחת כל השמים"</w:t>
      </w:r>
      <w:r w:rsidRPr="008636EE">
        <w:rPr>
          <w:rStyle w:val="a3"/>
          <w:rtl/>
        </w:rPr>
        <w:endnoteReference w:id="7"/>
      </w:r>
      <w:r>
        <w:rPr>
          <w:rFonts w:hint="cs"/>
          <w:rtl/>
        </w:rPr>
        <w:t xml:space="preserve">. </w:t>
      </w:r>
    </w:p>
    <w:p w:rsidR="00AD499E" w:rsidRPr="000C5E55" w:rsidRDefault="00AD499E" w:rsidP="00AD499E">
      <w:pPr>
        <w:rPr>
          <w:rFonts w:hint="cs"/>
          <w:rtl/>
        </w:rPr>
      </w:pP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 xml:space="preserve"> הראשונה בה </w:t>
      </w:r>
      <w:proofErr w:type="spellStart"/>
      <w:r>
        <w:rPr>
          <w:rFonts w:hint="cs"/>
          <w:rtl/>
        </w:rPr>
        <w:t>נצטוו</w:t>
      </w:r>
      <w:proofErr w:type="spellEnd"/>
      <w:r>
        <w:rPr>
          <w:rFonts w:hint="cs"/>
          <w:rtl/>
        </w:rPr>
        <w:t xml:space="preserve"> ישראל היא "החדש ה</w:t>
      </w:r>
      <w:r w:rsidRPr="000C5E55">
        <w:rPr>
          <w:rFonts w:hint="cs"/>
          <w:rtl/>
        </w:rPr>
        <w:t>זה לכם ראש חדשים"</w:t>
      </w:r>
      <w:r w:rsidRPr="008636EE">
        <w:rPr>
          <w:rStyle w:val="a3"/>
          <w:rtl/>
        </w:rPr>
        <w:endnoteReference w:id="8"/>
      </w:r>
      <w:r w:rsidRPr="000C5E55">
        <w:rPr>
          <w:rFonts w:hint="cs"/>
          <w:rtl/>
        </w:rPr>
        <w:t>, המוציאה את עם ישראל מתחת יד הכוכבים והמזלות ("אין מזל לישראל"</w:t>
      </w:r>
      <w:r w:rsidRPr="008636EE">
        <w:rPr>
          <w:rStyle w:val="a3"/>
          <w:rtl/>
        </w:rPr>
        <w:endnoteReference w:id="9"/>
      </w:r>
      <w:r w:rsidRPr="000C5E55">
        <w:rPr>
          <w:rFonts w:hint="cs"/>
          <w:rtl/>
        </w:rPr>
        <w:t>) וחושפת אותם ל</w:t>
      </w:r>
      <w:r w:rsidRPr="00D91656">
        <w:rPr>
          <w:rStyle w:val="a4"/>
          <w:rFonts w:hint="cs"/>
          <w:rtl/>
        </w:rPr>
        <w:t>התחדשות</w:t>
      </w:r>
      <w:r w:rsidRPr="000C5E55">
        <w:rPr>
          <w:rFonts w:hint="cs"/>
          <w:rtl/>
        </w:rPr>
        <w:t xml:space="preserve"> המציאות יש מאין</w:t>
      </w:r>
      <w:r w:rsidRPr="008636EE">
        <w:rPr>
          <w:rStyle w:val="a3"/>
          <w:rtl/>
        </w:rPr>
        <w:endnoteReference w:id="10"/>
      </w:r>
      <w:r w:rsidRPr="000C5E55">
        <w:rPr>
          <w:rFonts w:hint="cs"/>
          <w:rtl/>
        </w:rPr>
        <w:t xml:space="preserve"> הבאה לידי ביטוי בהתחדשות הלבנה מדי </w:t>
      </w:r>
      <w:r w:rsidRPr="00D91656">
        <w:rPr>
          <w:rStyle w:val="a4"/>
          <w:rFonts w:hint="cs"/>
          <w:rtl/>
        </w:rPr>
        <w:t>חדש</w:t>
      </w:r>
      <w:r w:rsidRPr="000C5E55">
        <w:rPr>
          <w:rFonts w:hint="cs"/>
          <w:rtl/>
        </w:rPr>
        <w:t xml:space="preserve"> בחדשו. לכן, הכינוי "חדש" שייך לירח כפי שהוא בעולם האצילות, כאשר המלכות עולה מהעולמות התחתונים בריאה-יצירה-עשיה (בהם היא נקראה ירח-לבנה-סהר), מתבטלת כ"נקודה תחת היסוד"</w:t>
      </w:r>
      <w:r w:rsidRPr="008636EE">
        <w:rPr>
          <w:rStyle w:val="a3"/>
          <w:rtl/>
        </w:rPr>
        <w:endnoteReference w:id="11"/>
      </w:r>
      <w:r w:rsidRPr="000C5E55">
        <w:rPr>
          <w:rFonts w:hint="cs"/>
          <w:rtl/>
        </w:rPr>
        <w:t xml:space="preserve"> ומתחדשת שוב מהשמש, לה ראוי לקרוא "מחדש"</w:t>
      </w:r>
      <w:r w:rsidRPr="008636EE">
        <w:rPr>
          <w:rStyle w:val="a3"/>
          <w:rtl/>
        </w:rPr>
        <w:endnoteReference w:id="12"/>
      </w:r>
      <w:r w:rsidRPr="000C5E55">
        <w:rPr>
          <w:rFonts w:hint="cs"/>
          <w:rtl/>
        </w:rPr>
        <w:t xml:space="preserve"> (בבחינת "המחדש בטובו בכל יום תמיד מעשה בראשית"</w:t>
      </w:r>
      <w:r w:rsidRPr="008636EE">
        <w:rPr>
          <w:rStyle w:val="a3"/>
          <w:rtl/>
        </w:rPr>
        <w:endnoteReference w:id="13"/>
      </w:r>
      <w:r w:rsidRPr="000C5E55">
        <w:rPr>
          <w:rFonts w:hint="cs"/>
          <w:rtl/>
        </w:rPr>
        <w:t>).</w:t>
      </w:r>
    </w:p>
    <w:p w:rsidR="00AD499E" w:rsidRPr="000C5E55" w:rsidRDefault="00AD499E" w:rsidP="00AD499E">
      <w:pPr>
        <w:rPr>
          <w:rFonts w:hint="cs"/>
          <w:rtl/>
        </w:rPr>
      </w:pPr>
      <w:r>
        <w:rPr>
          <w:rFonts w:hint="cs"/>
          <w:rtl/>
        </w:rPr>
        <w:t>בעולמות התחתונים מתחילה להתקיים מודעות עצמית נפרדת. לכן אפילו ה"ירח</w:t>
      </w:r>
      <w:r w:rsidRPr="000C5E55">
        <w:rPr>
          <w:rFonts w:hint="cs"/>
          <w:rtl/>
        </w:rPr>
        <w:t>" שבראש עולם הבריאה, עם כל מעלותיו הזורחות, נקשר לנוסח הגט</w:t>
      </w:r>
      <w:r w:rsidRPr="008636EE">
        <w:rPr>
          <w:rStyle w:val="a3"/>
          <w:rtl/>
        </w:rPr>
        <w:endnoteReference w:id="14"/>
      </w:r>
      <w:r w:rsidRPr="000C5E55">
        <w:rPr>
          <w:rFonts w:hint="cs"/>
          <w:rtl/>
        </w:rPr>
        <w:t>, בבחינת "גרש ירחים"</w:t>
      </w:r>
      <w:r w:rsidRPr="008636EE">
        <w:rPr>
          <w:rStyle w:val="a3"/>
          <w:rtl/>
        </w:rPr>
        <w:endnoteReference w:id="15"/>
      </w:r>
      <w:r w:rsidRPr="000C5E55">
        <w:rPr>
          <w:rFonts w:hint="cs"/>
          <w:rtl/>
        </w:rPr>
        <w:t>, והדברים מתדרדרים מעולם לעולם</w:t>
      </w:r>
      <w:r w:rsidRPr="008636EE">
        <w:rPr>
          <w:rStyle w:val="a3"/>
          <w:rtl/>
        </w:rPr>
        <w:endnoteReference w:id="16"/>
      </w:r>
      <w:r w:rsidRPr="000C5E55">
        <w:rPr>
          <w:rFonts w:hint="cs"/>
          <w:rtl/>
        </w:rPr>
        <w:t>:</w:t>
      </w:r>
    </w:p>
    <w:p w:rsidR="00AD499E" w:rsidRPr="000C5E55" w:rsidRDefault="00AD499E" w:rsidP="00AD499E">
      <w:pPr>
        <w:numPr>
          <w:ilvl w:val="0"/>
          <w:numId w:val="1"/>
        </w:numPr>
        <w:tabs>
          <w:tab w:val="clear" w:pos="1287"/>
          <w:tab w:val="num" w:pos="360"/>
        </w:tabs>
        <w:spacing w:line="360" w:lineRule="exact"/>
        <w:ind w:left="360"/>
        <w:rPr>
          <w:rFonts w:hint="cs"/>
          <w:rtl/>
        </w:rPr>
      </w:pPr>
      <w:r w:rsidRPr="000C5E55">
        <w:rPr>
          <w:rFonts w:hint="cs"/>
          <w:rtl/>
        </w:rPr>
        <w:t>חיי הנישואין שמתבססים על תודעת ירח מלא, על כל מעלותיו הגלויות, הם בבחינת "אהבה התלויה בדבר"</w:t>
      </w:r>
      <w:r w:rsidRPr="008636EE">
        <w:rPr>
          <w:rStyle w:val="a3"/>
          <w:rtl/>
        </w:rPr>
        <w:endnoteReference w:id="17"/>
      </w:r>
      <w:r w:rsidRPr="000C5E55">
        <w:rPr>
          <w:rFonts w:hint="cs"/>
          <w:rtl/>
        </w:rPr>
        <w:t xml:space="preserve"> כאשר הזכר-ה</w:t>
      </w:r>
      <w:r w:rsidRPr="00D91656">
        <w:rPr>
          <w:rStyle w:val="a4"/>
          <w:rFonts w:hint="cs"/>
          <w:rtl/>
        </w:rPr>
        <w:t>שמש</w:t>
      </w:r>
      <w:r w:rsidRPr="000C5E55">
        <w:rPr>
          <w:rFonts w:hint="cs"/>
          <w:rtl/>
        </w:rPr>
        <w:t xml:space="preserve"> משמש את הנקבה-ה</w:t>
      </w:r>
      <w:r w:rsidRPr="00D91656">
        <w:rPr>
          <w:rStyle w:val="a4"/>
          <w:rFonts w:hint="cs"/>
          <w:rtl/>
        </w:rPr>
        <w:t>ירח</w:t>
      </w:r>
      <w:r w:rsidRPr="000C5E55">
        <w:rPr>
          <w:rFonts w:hint="cs"/>
          <w:rtl/>
        </w:rPr>
        <w:t xml:space="preserve"> 'תמורת' המעלות הזורחות ממנה חזרה (שיקול כדאיות שכלתני, המבוסס על חוק שימור החומר והאנרגיה, כמתאים לעולם </w:t>
      </w:r>
      <w:r w:rsidRPr="00D91656">
        <w:rPr>
          <w:rStyle w:val="a4"/>
          <w:rFonts w:hint="cs"/>
          <w:rtl/>
        </w:rPr>
        <w:t>הבריאה</w:t>
      </w:r>
      <w:r w:rsidRPr="000C5E55">
        <w:rPr>
          <w:rFonts w:hint="cs"/>
          <w:rtl/>
        </w:rPr>
        <w:t xml:space="preserve">). </w:t>
      </w:r>
    </w:p>
    <w:p w:rsidR="00AD499E" w:rsidRPr="000C5E55" w:rsidRDefault="00AD499E" w:rsidP="00AD499E">
      <w:pPr>
        <w:numPr>
          <w:ilvl w:val="0"/>
          <w:numId w:val="1"/>
        </w:numPr>
        <w:tabs>
          <w:tab w:val="num" w:pos="360"/>
        </w:tabs>
        <w:spacing w:line="360" w:lineRule="exact"/>
        <w:ind w:left="360"/>
        <w:rPr>
          <w:rFonts w:hint="cs"/>
          <w:rtl/>
        </w:rPr>
      </w:pPr>
      <w:r w:rsidRPr="000C5E55">
        <w:rPr>
          <w:rFonts w:hint="cs"/>
          <w:rtl/>
        </w:rPr>
        <w:t>במשך הזמן דהות מעלותיה של הנקבה-ה</w:t>
      </w:r>
      <w:r w:rsidRPr="00D91656">
        <w:rPr>
          <w:rStyle w:val="a4"/>
          <w:rFonts w:hint="cs"/>
          <w:rtl/>
        </w:rPr>
        <w:t>לבנה</w:t>
      </w:r>
      <w:r w:rsidRPr="000C5E55">
        <w:rPr>
          <w:rFonts w:hint="cs"/>
          <w:rtl/>
        </w:rPr>
        <w:t xml:space="preserve">, וכאשר </w:t>
      </w:r>
      <w:proofErr w:type="spellStart"/>
      <w:r w:rsidRPr="000C5E55">
        <w:rPr>
          <w:rFonts w:hint="cs"/>
          <w:rtl/>
        </w:rPr>
        <w:t>האשה</w:t>
      </w:r>
      <w:proofErr w:type="spellEnd"/>
      <w:r w:rsidRPr="000C5E55">
        <w:rPr>
          <w:rFonts w:hint="cs"/>
          <w:rtl/>
        </w:rPr>
        <w:t xml:space="preserve"> נעשית </w:t>
      </w:r>
      <w:proofErr w:type="spellStart"/>
      <w:r w:rsidRPr="000C5E55">
        <w:rPr>
          <w:rFonts w:hint="cs"/>
          <w:rtl/>
        </w:rPr>
        <w:t>חוורת</w:t>
      </w:r>
      <w:proofErr w:type="spellEnd"/>
      <w:r w:rsidRPr="000C5E55">
        <w:rPr>
          <w:rFonts w:hint="cs"/>
          <w:rtl/>
        </w:rPr>
        <w:t xml:space="preserve"> (או אף מצורעת</w:t>
      </w:r>
      <w:r w:rsidRPr="008636EE">
        <w:rPr>
          <w:rStyle w:val="a3"/>
          <w:rtl/>
        </w:rPr>
        <w:endnoteReference w:id="18"/>
      </w:r>
      <w:r w:rsidRPr="000C5E55">
        <w:rPr>
          <w:rFonts w:hint="cs"/>
          <w:rtl/>
        </w:rPr>
        <w:t>) בעיני בעלה, הזכר-</w:t>
      </w:r>
      <w:r w:rsidRPr="000C5E55">
        <w:rPr>
          <w:rFonts w:hint="cs"/>
          <w:rtl/>
        </w:rPr>
        <w:lastRenderedPageBreak/>
        <w:t>ה</w:t>
      </w:r>
      <w:r w:rsidRPr="00D91656">
        <w:rPr>
          <w:rStyle w:val="a4"/>
          <w:rFonts w:hint="cs"/>
          <w:rtl/>
        </w:rPr>
        <w:t>חמה</w:t>
      </w:r>
      <w:r w:rsidRPr="000C5E55">
        <w:rPr>
          <w:rFonts w:hint="cs"/>
          <w:rtl/>
        </w:rPr>
        <w:t xml:space="preserve">, הוא מגיב בהתחממות רגזנית או </w:t>
      </w:r>
      <w:proofErr w:type="spellStart"/>
      <w:r w:rsidRPr="000C5E55">
        <w:rPr>
          <w:rFonts w:hint="cs"/>
          <w:rtl/>
        </w:rPr>
        <w:t>בנסיון</w:t>
      </w:r>
      <w:proofErr w:type="spellEnd"/>
      <w:r w:rsidRPr="000C5E55">
        <w:rPr>
          <w:rFonts w:hint="cs"/>
          <w:rtl/>
        </w:rPr>
        <w:t xml:space="preserve"> 'לחמם' מחדש את הנישואים בחום של </w:t>
      </w:r>
      <w:proofErr w:type="spellStart"/>
      <w:r w:rsidRPr="000C5E55">
        <w:rPr>
          <w:rFonts w:hint="cs"/>
          <w:rtl/>
        </w:rPr>
        <w:t>תאוה</w:t>
      </w:r>
      <w:proofErr w:type="spellEnd"/>
      <w:r w:rsidRPr="000C5E55">
        <w:rPr>
          <w:rFonts w:hint="cs"/>
          <w:rtl/>
        </w:rPr>
        <w:t xml:space="preserve"> חיצונית</w:t>
      </w:r>
      <w:r w:rsidRPr="008636EE">
        <w:rPr>
          <w:rStyle w:val="a3"/>
          <w:rtl/>
        </w:rPr>
        <w:endnoteReference w:id="19"/>
      </w:r>
      <w:r w:rsidRPr="000C5E55">
        <w:rPr>
          <w:rFonts w:hint="cs"/>
          <w:rtl/>
        </w:rPr>
        <w:t xml:space="preserve"> תוך העצמת צרכיו שלו וסיפוקם (התלהטות יצרים המתאימה לעולם </w:t>
      </w:r>
      <w:r w:rsidRPr="00D91656">
        <w:rPr>
          <w:rStyle w:val="a4"/>
          <w:rFonts w:hint="cs"/>
          <w:rtl/>
        </w:rPr>
        <w:t>היצירה</w:t>
      </w:r>
      <w:r w:rsidRPr="000C5E55">
        <w:rPr>
          <w:rFonts w:hint="cs"/>
          <w:rtl/>
        </w:rPr>
        <w:t xml:space="preserve">). </w:t>
      </w:r>
    </w:p>
    <w:p w:rsidR="00AD499E" w:rsidRPr="000C5E55" w:rsidRDefault="00AD499E" w:rsidP="00AD499E">
      <w:pPr>
        <w:numPr>
          <w:ilvl w:val="0"/>
          <w:numId w:val="1"/>
        </w:numPr>
        <w:tabs>
          <w:tab w:val="num" w:pos="360"/>
        </w:tabs>
        <w:spacing w:line="360" w:lineRule="exact"/>
        <w:ind w:left="360"/>
        <w:rPr>
          <w:rFonts w:hint="cs"/>
          <w:rtl/>
        </w:rPr>
      </w:pPr>
      <w:r w:rsidRPr="000C5E55">
        <w:rPr>
          <w:rFonts w:hint="cs"/>
          <w:rtl/>
        </w:rPr>
        <w:t>בסופו של תהליך נ</w:t>
      </w:r>
      <w:r w:rsidRPr="000C5E55">
        <w:rPr>
          <w:rFonts w:hint="cs"/>
          <w:b/>
          <w:bCs/>
          <w:sz w:val="28"/>
          <w:szCs w:val="28"/>
          <w:rtl/>
        </w:rPr>
        <w:t>חסר</w:t>
      </w:r>
      <w:r w:rsidRPr="000C5E55">
        <w:rPr>
          <w:rFonts w:hint="cs"/>
          <w:rtl/>
        </w:rPr>
        <w:t>ת ונאטמת לגמרי השפעתו של הזכר-ה</w:t>
      </w:r>
      <w:r w:rsidRPr="00D91656">
        <w:rPr>
          <w:rStyle w:val="a4"/>
          <w:rFonts w:hint="cs"/>
          <w:rtl/>
        </w:rPr>
        <w:t>חרס</w:t>
      </w:r>
      <w:r w:rsidRPr="000C5E55">
        <w:rPr>
          <w:rFonts w:hint="cs"/>
          <w:rtl/>
        </w:rPr>
        <w:t>, בבחינת "האֹמר ל</w:t>
      </w:r>
      <w:r w:rsidRPr="000C5E55">
        <w:rPr>
          <w:rFonts w:hint="cs"/>
          <w:b/>
          <w:bCs/>
          <w:sz w:val="28"/>
          <w:szCs w:val="28"/>
          <w:rtl/>
        </w:rPr>
        <w:t>חרס</w:t>
      </w:r>
      <w:r w:rsidRPr="000C5E55">
        <w:rPr>
          <w:rFonts w:hint="cs"/>
          <w:rtl/>
        </w:rPr>
        <w:t xml:space="preserve"> ולא יזרח"</w:t>
      </w:r>
      <w:bookmarkStart w:id="2" w:name="_Ref301996594"/>
      <w:r w:rsidRPr="008636EE">
        <w:rPr>
          <w:rStyle w:val="a3"/>
          <w:rtl/>
        </w:rPr>
        <w:endnoteReference w:id="20"/>
      </w:r>
      <w:bookmarkEnd w:id="2"/>
      <w:r w:rsidRPr="000C5E55">
        <w:rPr>
          <w:rFonts w:hint="cs"/>
          <w:rtl/>
        </w:rPr>
        <w:t>, והנקבה-ה</w:t>
      </w:r>
      <w:r w:rsidRPr="00D91656">
        <w:rPr>
          <w:rStyle w:val="a4"/>
          <w:rFonts w:hint="cs"/>
          <w:rtl/>
        </w:rPr>
        <w:t>סהר</w:t>
      </w:r>
      <w:r w:rsidRPr="000C5E55">
        <w:rPr>
          <w:rFonts w:hint="cs"/>
          <w:rtl/>
        </w:rPr>
        <w:t xml:space="preserve"> חשה ככלואה בבית הסהר</w:t>
      </w:r>
      <w:r w:rsidRPr="008636EE">
        <w:rPr>
          <w:rStyle w:val="a3"/>
          <w:rtl/>
        </w:rPr>
        <w:endnoteReference w:id="21"/>
      </w:r>
      <w:r w:rsidRPr="000C5E55">
        <w:rPr>
          <w:rFonts w:hint="cs"/>
          <w:rtl/>
        </w:rPr>
        <w:t xml:space="preserve"> וזקוקה לגט שחרור מחיי הנישואין הכולאים, כאשר במצבה נתפס הגט כיציאת מצרים, מתחת יד פרעה העריץ</w:t>
      </w:r>
      <w:r w:rsidRPr="008636EE">
        <w:rPr>
          <w:rStyle w:val="a3"/>
          <w:rtl/>
        </w:rPr>
        <w:endnoteReference w:id="22"/>
      </w:r>
      <w:r w:rsidRPr="000C5E55">
        <w:rPr>
          <w:rFonts w:hint="cs"/>
          <w:rtl/>
        </w:rPr>
        <w:t xml:space="preserve"> (בעולם </w:t>
      </w:r>
      <w:proofErr w:type="spellStart"/>
      <w:r w:rsidRPr="00D91656">
        <w:rPr>
          <w:rStyle w:val="a4"/>
          <w:rFonts w:hint="cs"/>
          <w:rtl/>
        </w:rPr>
        <w:t>העשיה</w:t>
      </w:r>
      <w:proofErr w:type="spellEnd"/>
      <w:r w:rsidRPr="000C5E55">
        <w:rPr>
          <w:rFonts w:hint="cs"/>
          <w:rtl/>
        </w:rPr>
        <w:t xml:space="preserve"> כל קשר הנישואין הופך לטכני-מעשי, וללא כל מטרה משו</w:t>
      </w:r>
      <w:r>
        <w:rPr>
          <w:rFonts w:hint="cs"/>
          <w:rtl/>
        </w:rPr>
        <w:t>תפת או רגש מתמלאת המציאות אף וח</w:t>
      </w:r>
      <w:r w:rsidRPr="000C5E55">
        <w:rPr>
          <w:rFonts w:hint="cs"/>
          <w:rtl/>
        </w:rPr>
        <w:t>מה, "אף עשיתיו"</w:t>
      </w:r>
      <w:r w:rsidRPr="008636EE">
        <w:rPr>
          <w:rStyle w:val="a3"/>
          <w:rtl/>
        </w:rPr>
        <w:endnoteReference w:id="23"/>
      </w:r>
      <w:r w:rsidRPr="000C5E55">
        <w:rPr>
          <w:rFonts w:hint="cs"/>
          <w:rtl/>
        </w:rPr>
        <w:t xml:space="preserve">). </w:t>
      </w:r>
    </w:p>
    <w:p w:rsidR="00AD499E" w:rsidRDefault="00AD499E" w:rsidP="00AD499E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proofErr w:type="spellStart"/>
      <w:r>
        <w:rPr>
          <w:rFonts w:hint="cs"/>
          <w:rtl/>
        </w:rPr>
        <w:t>העליה</w:t>
      </w:r>
      <w:proofErr w:type="spellEnd"/>
      <w:r>
        <w:rPr>
          <w:rFonts w:hint="cs"/>
          <w:rtl/>
        </w:rPr>
        <w:t xml:space="preserve"> למדרגת "חדש", התבטלות חסרת מודעות עצמית (השייכת לעולם האצילות), משחררת ממעגל ההתדרדרות ומולידה התחדשות </w:t>
      </w:r>
      <w:proofErr w:type="spellStart"/>
      <w:r>
        <w:rPr>
          <w:rFonts w:hint="cs"/>
          <w:rtl/>
        </w:rPr>
        <w:t>אלקית</w:t>
      </w:r>
      <w:proofErr w:type="spellEnd"/>
      <w:r>
        <w:rPr>
          <w:rFonts w:hint="cs"/>
          <w:rtl/>
        </w:rPr>
        <w:t xml:space="preserve"> בחיי הנישואין (ואזי גם תחתית הירידה, המצב החשוך של הסהר, אינו אלא התחלה חדשה של מולד הלבנה</w:t>
      </w:r>
      <w:bookmarkStart w:id="3" w:name="_Ref302005593"/>
      <w:r w:rsidRPr="008636EE">
        <w:rPr>
          <w:rStyle w:val="a3"/>
          <w:rtl/>
        </w:rPr>
        <w:endnoteReference w:id="24"/>
      </w:r>
      <w:bookmarkEnd w:id="3"/>
      <w:r>
        <w:rPr>
          <w:rFonts w:hint="cs"/>
          <w:rtl/>
        </w:rPr>
        <w:t>).</w:t>
      </w:r>
    </w:p>
    <w:p w:rsidR="00AD499E" w:rsidRDefault="00AD499E" w:rsidP="00AD499E">
      <w:pPr>
        <w:rPr>
          <w:rFonts w:hint="cs"/>
          <w:rtl/>
        </w:rPr>
      </w:pPr>
      <w:r>
        <w:rPr>
          <w:rFonts w:hint="cs"/>
          <w:rtl/>
        </w:rPr>
        <w:t xml:space="preserve">אמנם, לא תמיד נגזר על הירח המלא שילך ויחסר. </w:t>
      </w:r>
      <w:proofErr w:type="spellStart"/>
      <w:r>
        <w:rPr>
          <w:rFonts w:hint="cs"/>
          <w:rtl/>
        </w:rPr>
        <w:t>במנין</w:t>
      </w:r>
      <w:proofErr w:type="spellEnd"/>
      <w:r>
        <w:rPr>
          <w:rFonts w:hint="cs"/>
          <w:rtl/>
        </w:rPr>
        <w:t xml:space="preserve"> סדר הדורות של עם ישראל בדברי </w:t>
      </w:r>
      <w:r w:rsidRPr="000C5E55">
        <w:rPr>
          <w:rFonts w:hint="cs"/>
          <w:rtl/>
        </w:rPr>
        <w:t>הימים (המתמקד בשבט יהודה ובבית דוד) קיימת</w:t>
      </w:r>
      <w:r>
        <w:rPr>
          <w:rFonts w:hint="cs"/>
          <w:rtl/>
        </w:rPr>
        <w:t xml:space="preserve"> עליה של </w:t>
      </w:r>
      <w:r w:rsidRPr="00AD3D23">
        <w:rPr>
          <w:rFonts w:hint="cs"/>
          <w:b/>
          <w:bCs/>
          <w:sz w:val="28"/>
          <w:szCs w:val="28"/>
          <w:rtl/>
        </w:rPr>
        <w:t>טו</w:t>
      </w:r>
      <w:r>
        <w:rPr>
          <w:rFonts w:hint="cs"/>
          <w:rtl/>
        </w:rPr>
        <w:t xml:space="preserve"> דורות מאברהם אבינו עד שלמה המלך, שבימיו "קיימא </w:t>
      </w:r>
      <w:proofErr w:type="spellStart"/>
      <w:r>
        <w:rPr>
          <w:rFonts w:hint="cs"/>
          <w:rtl/>
        </w:rPr>
        <w:t>סיהרא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באשלמותא</w:t>
      </w:r>
      <w:proofErr w:type="spellEnd"/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25"/>
      </w:r>
      <w:r>
        <w:rPr>
          <w:rFonts w:hint="cs"/>
          <w:rtl/>
        </w:rPr>
        <w:t xml:space="preserve">, אחריה ירידה של </w:t>
      </w:r>
      <w:r w:rsidRPr="00E42E2E">
        <w:rPr>
          <w:rFonts w:hint="cs"/>
          <w:b/>
          <w:bCs/>
          <w:sz w:val="28"/>
          <w:szCs w:val="28"/>
          <w:rtl/>
        </w:rPr>
        <w:t>טו</w:t>
      </w:r>
      <w:r>
        <w:rPr>
          <w:rFonts w:hint="cs"/>
          <w:rtl/>
        </w:rPr>
        <w:t xml:space="preserve"> דורות עד לחורבן</w:t>
      </w:r>
      <w:r w:rsidRPr="008636EE">
        <w:rPr>
          <w:rStyle w:val="a3"/>
          <w:rtl/>
        </w:rPr>
        <w:endnoteReference w:id="26"/>
      </w:r>
      <w:r>
        <w:rPr>
          <w:rFonts w:hint="cs"/>
          <w:rtl/>
        </w:rPr>
        <w:t xml:space="preserve"> (כנגד חסרון הלבנה), ואחר כך עליה נוספת של </w:t>
      </w:r>
      <w:r w:rsidRPr="00BB4EF3">
        <w:rPr>
          <w:rFonts w:hint="cs"/>
          <w:b/>
          <w:bCs/>
          <w:sz w:val="28"/>
          <w:szCs w:val="28"/>
          <w:rtl/>
        </w:rPr>
        <w:t>טו</w:t>
      </w:r>
      <w:r>
        <w:rPr>
          <w:rFonts w:hint="cs"/>
          <w:rtl/>
        </w:rPr>
        <w:t xml:space="preserve"> דורות עד דמות עלומה בשם "ענני"</w:t>
      </w:r>
      <w:r w:rsidRPr="008636EE">
        <w:rPr>
          <w:rStyle w:val="a3"/>
          <w:rtl/>
        </w:rPr>
        <w:endnoteReference w:id="27"/>
      </w:r>
      <w:r>
        <w:rPr>
          <w:rFonts w:hint="cs"/>
          <w:rtl/>
        </w:rPr>
        <w:t xml:space="preserve"> שחז"ל דורשים כי היא המשיח</w:t>
      </w:r>
      <w:r w:rsidRPr="008636EE">
        <w:rPr>
          <w:rStyle w:val="a3"/>
          <w:rtl/>
        </w:rPr>
        <w:endnoteReference w:id="28"/>
      </w:r>
      <w:r>
        <w:rPr>
          <w:rFonts w:hint="cs"/>
          <w:rtl/>
        </w:rPr>
        <w:t>. כלומר, במצב משיחי הירח המלא נשאר קיים לנצח, ללא ירידות וחסרונות. כיצד ניתן לשמר את הירח המלא בחיי הנישואין?</w:t>
      </w:r>
    </w:p>
    <w:p w:rsidR="00AD499E" w:rsidRPr="000C5E55" w:rsidRDefault="00AD499E" w:rsidP="00AD499E">
      <w:pPr>
        <w:rPr>
          <w:rFonts w:hint="cs"/>
          <w:rtl/>
        </w:rPr>
      </w:pPr>
      <w:r>
        <w:rPr>
          <w:rFonts w:hint="cs"/>
          <w:rtl/>
        </w:rPr>
        <w:t>"מדת בשר ודם כלי ריקן מחזיק, מלא אינו מחזיק"</w:t>
      </w:r>
      <w:r w:rsidRPr="008636EE">
        <w:rPr>
          <w:rStyle w:val="a3"/>
          <w:rtl/>
        </w:rPr>
        <w:endnoteReference w:id="29"/>
      </w:r>
      <w:r>
        <w:rPr>
          <w:rFonts w:hint="cs"/>
          <w:rtl/>
        </w:rPr>
        <w:t xml:space="preserve"> ולכן במודעות העצמית של העולמות התחתונים, "מדת בשר ודם", ודאי שהירח המלא לא יחזיק מעמד. "אבל הקדוש ברוך הוא אינו כן, מלא מחזיק ריקן אינו מחזיק", כאשר מתבטלים במודעות </w:t>
      </w:r>
      <w:proofErr w:type="spellStart"/>
      <w:r>
        <w:rPr>
          <w:rFonts w:hint="cs"/>
          <w:rtl/>
        </w:rPr>
        <w:t>האלקית</w:t>
      </w:r>
      <w:proofErr w:type="spellEnd"/>
      <w:r>
        <w:rPr>
          <w:rFonts w:hint="cs"/>
          <w:rtl/>
        </w:rPr>
        <w:t xml:space="preserve"> דווקא המלאות היא זו שגוברת והולכת, משום שאין היא מלאה מעצמה אלא ממתנות החנם המתחדשות תמיד מידי ה'. כדי שהמלאות לא תחסום את השפע </w:t>
      </w:r>
      <w:proofErr w:type="spellStart"/>
      <w:r>
        <w:rPr>
          <w:rFonts w:hint="cs"/>
          <w:rtl/>
        </w:rPr>
        <w:t>האלקי</w:t>
      </w:r>
      <w:proofErr w:type="spellEnd"/>
      <w:r>
        <w:rPr>
          <w:rFonts w:hint="cs"/>
          <w:rtl/>
        </w:rPr>
        <w:t xml:space="preserve"> </w:t>
      </w:r>
      <w:r w:rsidRPr="000C5E55">
        <w:rPr>
          <w:rFonts w:hint="cs"/>
          <w:rtl/>
        </w:rPr>
        <w:t xml:space="preserve">צריך האדם לא להתמלא סיפוק </w:t>
      </w:r>
      <w:proofErr w:type="spellStart"/>
      <w:r w:rsidRPr="000C5E55">
        <w:rPr>
          <w:rFonts w:hint="cs"/>
          <w:rtl/>
        </w:rPr>
        <w:t>מהיותו</w:t>
      </w:r>
      <w:proofErr w:type="spellEnd"/>
      <w:r w:rsidRPr="000C5E55">
        <w:rPr>
          <w:rFonts w:hint="cs"/>
          <w:rtl/>
        </w:rPr>
        <w:t xml:space="preserve"> "כלי מלא" ולא להחזיק טובה לעצמו (ולהיפך, תודעת "</w:t>
      </w:r>
      <w:r w:rsidRPr="000C5E55">
        <w:rPr>
          <w:rFonts w:hint="cs"/>
          <w:b/>
          <w:bCs/>
          <w:sz w:val="28"/>
          <w:szCs w:val="28"/>
          <w:rtl/>
        </w:rPr>
        <w:t>כלי</w:t>
      </w:r>
      <w:r w:rsidRPr="000C5E55">
        <w:rPr>
          <w:rFonts w:hint="cs"/>
          <w:rtl/>
        </w:rPr>
        <w:t xml:space="preserve"> </w:t>
      </w:r>
      <w:r w:rsidRPr="000C5E55">
        <w:rPr>
          <w:rFonts w:hint="cs"/>
          <w:b/>
          <w:bCs/>
          <w:sz w:val="28"/>
          <w:szCs w:val="28"/>
          <w:rtl/>
        </w:rPr>
        <w:t>מלא</w:t>
      </w:r>
      <w:r w:rsidRPr="000C5E55">
        <w:rPr>
          <w:rFonts w:hint="cs"/>
          <w:rtl/>
        </w:rPr>
        <w:t xml:space="preserve">" </w:t>
      </w:r>
      <w:r w:rsidRPr="000C5E55">
        <w:rPr>
          <w:rFonts w:hint="cs"/>
          <w:rtl/>
        </w:rPr>
        <w:lastRenderedPageBreak/>
        <w:t xml:space="preserve">מתוקנת צריכה להביא לידי </w:t>
      </w:r>
      <w:r w:rsidRPr="000C5E55">
        <w:rPr>
          <w:rFonts w:hint="cs"/>
          <w:b/>
          <w:bCs/>
          <w:sz w:val="28"/>
          <w:szCs w:val="28"/>
          <w:rtl/>
        </w:rPr>
        <w:t>ענוה</w:t>
      </w:r>
      <w:r w:rsidRPr="000C5E55">
        <w:rPr>
          <w:rFonts w:hint="cs"/>
          <w:rtl/>
        </w:rPr>
        <w:t>), וממילא להיות בשאיפה של "מי שיש לו מנה רוצה מאתים"</w:t>
      </w:r>
      <w:r w:rsidRPr="008636EE">
        <w:rPr>
          <w:rStyle w:val="a3"/>
          <w:rtl/>
        </w:rPr>
        <w:endnoteReference w:id="30"/>
      </w:r>
      <w:r w:rsidRPr="000C5E55">
        <w:rPr>
          <w:rFonts w:hint="cs"/>
          <w:rtl/>
        </w:rPr>
        <w:t xml:space="preserve">. </w:t>
      </w:r>
    </w:p>
    <w:p w:rsidR="005F4A47" w:rsidRDefault="00AD499E" w:rsidP="00AD499E">
      <w:r>
        <w:rPr>
          <w:rFonts w:hint="cs"/>
          <w:rtl/>
        </w:rPr>
        <w:t>בחיי הנישואין, כאשר מבינים שבן הזוג נותר תמיד כפלא בלתי מושג</w:t>
      </w:r>
      <w:r w:rsidRPr="008636EE">
        <w:rPr>
          <w:rStyle w:val="a3"/>
          <w:rtl/>
        </w:rPr>
        <w:endnoteReference w:id="31"/>
      </w:r>
      <w:r>
        <w:rPr>
          <w:rFonts w:hint="cs"/>
          <w:rtl/>
        </w:rPr>
        <w:t>, הרי שעם כל השמחה והמלאות של הנישואין נותר ממד של "</w:t>
      </w:r>
      <w:r w:rsidRPr="00D73218">
        <w:rPr>
          <w:rFonts w:hint="cs"/>
          <w:b/>
          <w:bCs/>
          <w:sz w:val="28"/>
          <w:szCs w:val="28"/>
          <w:rtl/>
        </w:rPr>
        <w:t>לבו</w:t>
      </w:r>
      <w:r>
        <w:rPr>
          <w:rFonts w:hint="cs"/>
          <w:rtl/>
        </w:rPr>
        <w:t xml:space="preserve"> </w:t>
      </w:r>
      <w:r w:rsidRPr="00D73218">
        <w:rPr>
          <w:rFonts w:hint="cs"/>
          <w:b/>
          <w:bCs/>
          <w:sz w:val="28"/>
          <w:szCs w:val="28"/>
          <w:rtl/>
        </w:rPr>
        <w:t>דו</w:t>
      </w:r>
      <w:r>
        <w:rPr>
          <w:rFonts w:hint="cs"/>
          <w:rtl/>
        </w:rPr>
        <w:t xml:space="preserve">אג </w:t>
      </w:r>
      <w:r w:rsidRPr="00D73218">
        <w:rPr>
          <w:rFonts w:hint="cs"/>
          <w:b/>
          <w:bCs/>
          <w:sz w:val="28"/>
          <w:szCs w:val="28"/>
          <w:rtl/>
        </w:rPr>
        <w:t>ב</w:t>
      </w:r>
      <w:r>
        <w:rPr>
          <w:rFonts w:hint="cs"/>
          <w:rtl/>
        </w:rPr>
        <w:t>קר</w:t>
      </w:r>
      <w:r w:rsidRPr="00D73218">
        <w:rPr>
          <w:rFonts w:hint="cs"/>
          <w:b/>
          <w:bCs/>
          <w:sz w:val="28"/>
          <w:szCs w:val="28"/>
          <w:rtl/>
        </w:rPr>
        <w:t>בו</w:t>
      </w:r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32"/>
      </w:r>
      <w:r>
        <w:rPr>
          <w:rFonts w:hint="cs"/>
          <w:rtl/>
        </w:rPr>
        <w:t xml:space="preserve"> (הממשיך את המצב של "לא טוב היות האדם </w:t>
      </w:r>
      <w:r w:rsidRPr="00D73218">
        <w:rPr>
          <w:rFonts w:hint="cs"/>
          <w:b/>
          <w:bCs/>
          <w:sz w:val="28"/>
          <w:szCs w:val="28"/>
          <w:rtl/>
        </w:rPr>
        <w:t>לבדו</w:t>
      </w:r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33"/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מכחו</w:t>
      </w:r>
      <w:proofErr w:type="spellEnd"/>
      <w:r>
        <w:rPr>
          <w:rFonts w:hint="cs"/>
          <w:rtl/>
        </w:rPr>
        <w:t xml:space="preserve"> מופיעים "רזי תורה" וגילויים נוספים ואין סופיים </w:t>
      </w:r>
      <w:r w:rsidRPr="00952A3F">
        <w:rPr>
          <w:rFonts w:hint="cs"/>
          <w:rtl/>
        </w:rPr>
        <w:t>ע</w:t>
      </w:r>
      <w:r>
        <w:rPr>
          <w:rFonts w:hint="cs"/>
          <w:rtl/>
        </w:rPr>
        <w:t xml:space="preserve">ל בן הזוג המחדשים תמיד את הנישואין. כשם שלעתיד לבוא זוכים לכך </w:t>
      </w:r>
      <w:proofErr w:type="spellStart"/>
      <w:r>
        <w:rPr>
          <w:rFonts w:hint="cs"/>
          <w:rtl/>
        </w:rPr>
        <w:t>שהאשה</w:t>
      </w:r>
      <w:proofErr w:type="spellEnd"/>
      <w:r>
        <w:rPr>
          <w:rFonts w:hint="cs"/>
          <w:rtl/>
        </w:rPr>
        <w:t xml:space="preserve"> היא בו זמנית בבחינת בתולה ובעולה</w:t>
      </w:r>
      <w:r w:rsidRPr="008636EE">
        <w:rPr>
          <w:rStyle w:val="a3"/>
          <w:rtl/>
        </w:rPr>
        <w:endnoteReference w:id="34"/>
      </w:r>
      <w:r>
        <w:rPr>
          <w:rFonts w:hint="cs"/>
          <w:rtl/>
        </w:rPr>
        <w:t xml:space="preserve"> כך ניתן לשמר תוך כדי שמחת הנישואין גם את הדאגה מאי-הכרת בן הזוג (ובמובן מסוים, כשכבר זוכים לקשר וקרבה ועדיין בת הזוג שבבחינת "פת בסלו"</w:t>
      </w:r>
      <w:r w:rsidRPr="008636EE">
        <w:rPr>
          <w:rStyle w:val="a3"/>
          <w:rtl/>
        </w:rPr>
        <w:endnoteReference w:id="35"/>
      </w:r>
      <w:r>
        <w:rPr>
          <w:rFonts w:hint="cs"/>
          <w:rtl/>
        </w:rPr>
        <w:t xml:space="preserve"> נותרת נעלמת, כיהלום בקופסא</w:t>
      </w:r>
      <w:r w:rsidRPr="008636EE">
        <w:rPr>
          <w:rStyle w:val="a3"/>
          <w:rtl/>
        </w:rPr>
        <w:endnoteReference w:id="36"/>
      </w:r>
      <w:r>
        <w:rPr>
          <w:rFonts w:hint="cs"/>
          <w:rtl/>
        </w:rPr>
        <w:t>, ממד הדאגה אף גובר ומעמיק ומעורר תוספת התחדשות ועליה מחיל אל חיל).</w:t>
      </w:r>
      <w:bookmarkStart w:id="4" w:name="_GoBack"/>
      <w:bookmarkEnd w:id="4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177" w:rsidRDefault="00675177" w:rsidP="00AD499E">
      <w:pPr>
        <w:spacing w:after="0" w:line="240" w:lineRule="auto"/>
      </w:pPr>
      <w:r>
        <w:separator/>
      </w:r>
    </w:p>
  </w:endnote>
  <w:endnote w:type="continuationSeparator" w:id="0">
    <w:p w:rsidR="00675177" w:rsidRDefault="00675177" w:rsidP="00AD499E">
      <w:pPr>
        <w:spacing w:after="0" w:line="240" w:lineRule="auto"/>
      </w:pPr>
      <w:r>
        <w:continuationSeparator/>
      </w:r>
    </w:p>
  </w:endnote>
  <w:endnote w:id="1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בריבוי מקומות בספרי הקבלה והמחשבה. ראה למשל פרדס </w:t>
      </w:r>
      <w:proofErr w:type="spellStart"/>
      <w:r>
        <w:rPr>
          <w:rFonts w:hint="cs"/>
          <w:rtl/>
        </w:rPr>
        <w:t>רמונים</w:t>
      </w:r>
      <w:proofErr w:type="spellEnd"/>
      <w:r>
        <w:rPr>
          <w:rFonts w:hint="cs"/>
          <w:rtl/>
        </w:rPr>
        <w:t xml:space="preserve"> שי"ב פ"ו, מגלה עמוקות אופן רכו, תולעת יעקב סתרי ר"ח </w:t>
      </w:r>
      <w:proofErr w:type="spellStart"/>
      <w:r>
        <w:rPr>
          <w:rFonts w:hint="cs"/>
          <w:rtl/>
        </w:rPr>
        <w:t>ותפלותיו</w:t>
      </w:r>
      <w:proofErr w:type="spellEnd"/>
      <w:r>
        <w:rPr>
          <w:rFonts w:hint="cs"/>
          <w:rtl/>
        </w:rPr>
        <w:t xml:space="preserve">, מעיני הישועה (אברבנאל) מעין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 xml:space="preserve"> שער ב תמר ג, תורת העולה ח"א </w:t>
      </w:r>
      <w:proofErr w:type="spellStart"/>
      <w:r>
        <w:rPr>
          <w:rFonts w:hint="cs"/>
          <w:rtl/>
        </w:rPr>
        <w:t>פכ"ה</w:t>
      </w:r>
      <w:proofErr w:type="spellEnd"/>
      <w:r>
        <w:rPr>
          <w:rFonts w:hint="cs"/>
          <w:rtl/>
        </w:rPr>
        <w:t xml:space="preserve"> (ובכ"ד), גור אריה דברים כה,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 xml:space="preserve"> (וראה גם בשאר התורות בשער זה).</w:t>
      </w:r>
    </w:p>
  </w:endnote>
  <w:endnote w:id="2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א,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3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משנת חסידים מסכת הבריאה פ"ג מ"ב.</w:t>
      </w:r>
    </w:p>
  </w:endnote>
  <w:endnote w:id="4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מסכת רחל </w:t>
      </w:r>
      <w:proofErr w:type="spellStart"/>
      <w:r>
        <w:rPr>
          <w:rFonts w:hint="cs"/>
          <w:rtl/>
        </w:rPr>
        <w:t>דבריאה</w:t>
      </w:r>
      <w:proofErr w:type="spellEnd"/>
      <w:r>
        <w:rPr>
          <w:rFonts w:hint="cs"/>
          <w:rtl/>
        </w:rPr>
        <w:t xml:space="preserve"> פ"א מ"א.</w:t>
      </w:r>
    </w:p>
  </w:endnote>
  <w:endnote w:id="5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מסכת יצירה פ"א מ"ה.</w:t>
      </w:r>
    </w:p>
  </w:endnote>
  <w:endnote w:id="6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מסכת </w:t>
      </w:r>
      <w:proofErr w:type="spellStart"/>
      <w:r>
        <w:rPr>
          <w:rFonts w:hint="cs"/>
          <w:rtl/>
        </w:rPr>
        <w:t>העשיה</w:t>
      </w:r>
      <w:proofErr w:type="spellEnd"/>
      <w:r>
        <w:rPr>
          <w:rFonts w:hint="cs"/>
          <w:rtl/>
        </w:rPr>
        <w:t xml:space="preserve"> פ"ב מ"ט.</w:t>
      </w:r>
    </w:p>
  </w:endnote>
  <w:endnote w:id="7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דברים ד,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 xml:space="preserve"> (וראה רש"י עה"פ).</w:t>
      </w:r>
    </w:p>
  </w:endnote>
  <w:endnote w:id="8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, ב.</w:t>
      </w:r>
    </w:p>
  </w:endnote>
  <w:endnote w:id="9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8C705A">
        <w:rPr>
          <w:rtl/>
        </w:rPr>
        <w:t>שבת קנו, א.</w:t>
      </w:r>
    </w:p>
  </w:endnote>
  <w:endnote w:id="10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בעל שם טוב </w:t>
      </w:r>
      <w:proofErr w:type="spellStart"/>
      <w:r>
        <w:rPr>
          <w:rFonts w:hint="cs"/>
          <w:rtl/>
        </w:rPr>
        <w:t>עה"ת</w:t>
      </w:r>
      <w:proofErr w:type="spellEnd"/>
      <w:r>
        <w:rPr>
          <w:rFonts w:hint="cs"/>
          <w:rtl/>
        </w:rPr>
        <w:t xml:space="preserve"> לך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 xml:space="preserve"> כי "אַיִן [הוא הוא ה]מזל לישראל".</w:t>
      </w:r>
    </w:p>
  </w:endnote>
  <w:endnote w:id="11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  <w:t>עץ חיים</w:t>
      </w:r>
      <w:r>
        <w:rPr>
          <w:rFonts w:hint="cs"/>
          <w:rtl/>
        </w:rPr>
        <w:t xml:space="preserve"> שער לו פ"ב.</w:t>
      </w:r>
    </w:p>
  </w:endnote>
  <w:endnote w:id="12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ובדרך רמז במבנה זה: </w:t>
      </w:r>
      <w:r w:rsidRPr="00C8217C">
        <w:rPr>
          <w:rFonts w:hint="cs"/>
          <w:b/>
          <w:bCs/>
          <w:sz w:val="24"/>
          <w:szCs w:val="24"/>
          <w:rtl/>
        </w:rPr>
        <w:t>חדש</w:t>
      </w:r>
      <w:r>
        <w:rPr>
          <w:rFonts w:hint="cs"/>
          <w:rtl/>
        </w:rPr>
        <w:t xml:space="preserve"> </w:t>
      </w:r>
      <w:r w:rsidRPr="00C8217C">
        <w:rPr>
          <w:rFonts w:hint="cs"/>
          <w:b/>
          <w:bCs/>
          <w:sz w:val="24"/>
          <w:szCs w:val="24"/>
          <w:rtl/>
        </w:rPr>
        <w:t>ירח</w:t>
      </w:r>
      <w:r>
        <w:rPr>
          <w:rFonts w:hint="cs"/>
          <w:rtl/>
        </w:rPr>
        <w:t xml:space="preserve"> </w:t>
      </w:r>
      <w:r w:rsidRPr="00C8217C">
        <w:rPr>
          <w:rFonts w:hint="cs"/>
          <w:b/>
          <w:bCs/>
          <w:sz w:val="24"/>
          <w:szCs w:val="24"/>
          <w:rtl/>
        </w:rPr>
        <w:t>לבנה</w:t>
      </w:r>
      <w:r>
        <w:rPr>
          <w:rFonts w:hint="cs"/>
          <w:rtl/>
        </w:rPr>
        <w:t xml:space="preserve"> </w:t>
      </w:r>
      <w:r w:rsidRPr="00C8217C">
        <w:rPr>
          <w:rFonts w:hint="cs"/>
          <w:b/>
          <w:bCs/>
          <w:sz w:val="24"/>
          <w:szCs w:val="24"/>
          <w:rtl/>
        </w:rPr>
        <w:t>סהר</w:t>
      </w:r>
      <w:r>
        <w:rPr>
          <w:rFonts w:hint="cs"/>
          <w:rtl/>
        </w:rPr>
        <w:t xml:space="preserve"> עולה </w:t>
      </w:r>
      <w:r w:rsidRPr="00C8217C">
        <w:rPr>
          <w:rFonts w:hint="cs"/>
          <w:b/>
          <w:bCs/>
          <w:sz w:val="24"/>
          <w:szCs w:val="24"/>
          <w:rtl/>
        </w:rPr>
        <w:t>אמת</w:t>
      </w:r>
      <w:r>
        <w:rPr>
          <w:rFonts w:hint="cs"/>
          <w:rtl/>
        </w:rPr>
        <w:t xml:space="preserve"> </w:t>
      </w:r>
      <w:proofErr w:type="spellStart"/>
      <w:r w:rsidRPr="00C8217C">
        <w:rPr>
          <w:rFonts w:hint="cs"/>
          <w:b/>
          <w:bCs/>
          <w:sz w:val="24"/>
          <w:szCs w:val="24"/>
          <w:rtl/>
        </w:rPr>
        <w:t>אמת</w:t>
      </w:r>
      <w:proofErr w:type="spellEnd"/>
      <w:r>
        <w:rPr>
          <w:rFonts w:hint="cs"/>
          <w:rtl/>
        </w:rPr>
        <w:t xml:space="preserve"> ו-</w:t>
      </w:r>
      <w:r w:rsidRPr="00C8217C">
        <w:rPr>
          <w:rFonts w:hint="cs"/>
          <w:b/>
          <w:bCs/>
          <w:sz w:val="24"/>
          <w:szCs w:val="24"/>
          <w:rtl/>
        </w:rPr>
        <w:t>מחדש</w:t>
      </w:r>
      <w:r>
        <w:rPr>
          <w:rFonts w:hint="cs"/>
          <w:rtl/>
        </w:rPr>
        <w:t xml:space="preserve"> </w:t>
      </w:r>
      <w:r w:rsidRPr="00C8217C">
        <w:rPr>
          <w:rFonts w:hint="cs"/>
          <w:b/>
          <w:bCs/>
          <w:sz w:val="24"/>
          <w:szCs w:val="24"/>
          <w:rtl/>
        </w:rPr>
        <w:t>שמש</w:t>
      </w:r>
      <w:r>
        <w:rPr>
          <w:rFonts w:hint="cs"/>
          <w:rtl/>
        </w:rPr>
        <w:t xml:space="preserve"> </w:t>
      </w:r>
      <w:r w:rsidRPr="00C8217C">
        <w:rPr>
          <w:rFonts w:hint="cs"/>
          <w:b/>
          <w:bCs/>
          <w:sz w:val="24"/>
          <w:szCs w:val="24"/>
          <w:rtl/>
        </w:rPr>
        <w:t>חמה</w:t>
      </w:r>
      <w:r>
        <w:rPr>
          <w:rFonts w:hint="cs"/>
          <w:rtl/>
        </w:rPr>
        <w:t xml:space="preserve"> </w:t>
      </w:r>
      <w:r w:rsidRPr="00C8217C">
        <w:rPr>
          <w:rFonts w:hint="cs"/>
          <w:b/>
          <w:bCs/>
          <w:sz w:val="24"/>
          <w:szCs w:val="24"/>
          <w:rtl/>
        </w:rPr>
        <w:t>חרס</w:t>
      </w:r>
      <w:r>
        <w:rPr>
          <w:rFonts w:hint="cs"/>
          <w:rtl/>
        </w:rPr>
        <w:t xml:space="preserve"> עולה </w:t>
      </w:r>
      <w:proofErr w:type="spellStart"/>
      <w:r w:rsidRPr="00C8217C">
        <w:rPr>
          <w:rFonts w:hint="cs"/>
          <w:b/>
          <w:bCs/>
          <w:sz w:val="24"/>
          <w:szCs w:val="24"/>
          <w:rtl/>
        </w:rPr>
        <w:t>תחית</w:t>
      </w:r>
      <w:proofErr w:type="spellEnd"/>
      <w:r>
        <w:rPr>
          <w:rFonts w:hint="cs"/>
          <w:rtl/>
        </w:rPr>
        <w:t xml:space="preserve"> </w:t>
      </w:r>
      <w:r w:rsidRPr="00C8217C">
        <w:rPr>
          <w:rFonts w:hint="cs"/>
          <w:b/>
          <w:bCs/>
          <w:sz w:val="24"/>
          <w:szCs w:val="24"/>
          <w:rtl/>
        </w:rPr>
        <w:t>המתים</w:t>
      </w:r>
      <w:r>
        <w:rPr>
          <w:rFonts w:hint="cs"/>
          <w:rtl/>
        </w:rPr>
        <w:t>, המספר הראשון מתחלק ב-</w:t>
      </w:r>
      <w:r w:rsidRPr="00C8217C">
        <w:rPr>
          <w:rFonts w:hint="cs"/>
          <w:b/>
          <w:bCs/>
          <w:sz w:val="24"/>
          <w:szCs w:val="24"/>
          <w:rtl/>
        </w:rPr>
        <w:t>ז</w:t>
      </w:r>
      <w:r>
        <w:rPr>
          <w:rFonts w:hint="cs"/>
          <w:rtl/>
        </w:rPr>
        <w:t xml:space="preserve"> והשני ב-</w:t>
      </w:r>
      <w:proofErr w:type="spellStart"/>
      <w:r w:rsidRPr="00C8217C">
        <w:rPr>
          <w:rFonts w:hint="cs"/>
          <w:b/>
          <w:bCs/>
          <w:sz w:val="24"/>
          <w:szCs w:val="24"/>
          <w:rtl/>
        </w:rPr>
        <w:t>יג</w:t>
      </w:r>
      <w:proofErr w:type="spellEnd"/>
      <w:r>
        <w:rPr>
          <w:rFonts w:hint="cs"/>
          <w:rtl/>
        </w:rPr>
        <w:t>, כיחס הידוע בין נקבה וזכר.</w:t>
      </w:r>
    </w:p>
  </w:endnote>
  <w:endnote w:id="13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מתוך ברכת יוצר אור.</w:t>
      </w:r>
    </w:p>
  </w:endnote>
  <w:endnote w:id="14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כנ"ל בתורה "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חדשה".</w:t>
      </w:r>
    </w:p>
  </w:endnote>
  <w:endnote w:id="15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דברים לג, יד.</w:t>
      </w:r>
    </w:p>
  </w:endnote>
  <w:endnote w:id="16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מציאות הנישואין וההתייחסות אליהם בארבעת העולמות גם יין משמח ח"א שער א בתורה "יעוץ נישואין".</w:t>
      </w:r>
    </w:p>
  </w:endnote>
  <w:endnote w:id="17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אבות פ"ה מט"ז.</w:t>
      </w:r>
    </w:p>
  </w:endnote>
  <w:endnote w:id="18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סוטה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 xml:space="preserve">, ב לגבי מרים </w:t>
      </w:r>
      <w:proofErr w:type="spellStart"/>
      <w:r>
        <w:rPr>
          <w:rFonts w:hint="cs"/>
          <w:rtl/>
        </w:rPr>
        <w:t>שבחליה</w:t>
      </w:r>
      <w:proofErr w:type="spellEnd"/>
      <w:r>
        <w:rPr>
          <w:rFonts w:hint="cs"/>
          <w:rtl/>
        </w:rPr>
        <w:t xml:space="preserve"> היו פניה דומות כיריעות ("בלי תואר אדמומית") וכל בחורי ישראל עזבוה.</w:t>
      </w:r>
    </w:p>
  </w:endnote>
  <w:endnote w:id="19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בשער ג בתורה "יונתי </w:t>
      </w:r>
      <w:proofErr w:type="spellStart"/>
      <w:r>
        <w:rPr>
          <w:rFonts w:hint="cs"/>
          <w:rtl/>
        </w:rPr>
        <w:t>בחגוי</w:t>
      </w:r>
      <w:proofErr w:type="spellEnd"/>
      <w:r>
        <w:rPr>
          <w:rFonts w:hint="cs"/>
          <w:rtl/>
        </w:rPr>
        <w:t xml:space="preserve"> הסלע" כי כעס </w:t>
      </w:r>
      <w:proofErr w:type="spellStart"/>
      <w:r>
        <w:rPr>
          <w:rFonts w:hint="cs"/>
          <w:rtl/>
        </w:rPr>
        <w:t>ותאוה</w:t>
      </w:r>
      <w:proofErr w:type="spellEnd"/>
      <w:r>
        <w:rPr>
          <w:rFonts w:hint="cs"/>
          <w:rtl/>
        </w:rPr>
        <w:t xml:space="preserve"> הן שתי הבחינות של "אש </w:t>
      </w:r>
      <w:proofErr w:type="spellStart"/>
      <w:r>
        <w:rPr>
          <w:rFonts w:hint="cs"/>
          <w:rtl/>
        </w:rPr>
        <w:t>אוכלתן</w:t>
      </w:r>
      <w:proofErr w:type="spellEnd"/>
      <w:r>
        <w:rPr>
          <w:rFonts w:hint="cs"/>
          <w:rtl/>
        </w:rPr>
        <w:t>".</w:t>
      </w:r>
    </w:p>
  </w:endnote>
  <w:endnote w:id="20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איוב ט, ז. וראה פרי עץ חיים שער חנוכה ופורים פ"ו.</w:t>
      </w:r>
    </w:p>
  </w:endnote>
  <w:endnote w:id="21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פרי עץ חיים שם.</w:t>
      </w:r>
    </w:p>
  </w:endnote>
  <w:endnote w:id="22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</w:t>
      </w:r>
      <w:proofErr w:type="spellStart"/>
      <w:r>
        <w:rPr>
          <w:rFonts w:hint="cs"/>
          <w:rtl/>
        </w:rPr>
        <w:t>רמתים</w:t>
      </w:r>
      <w:proofErr w:type="spellEnd"/>
      <w:r>
        <w:rPr>
          <w:rFonts w:hint="cs"/>
          <w:rtl/>
        </w:rPr>
        <w:t xml:space="preserve"> צופים </w:t>
      </w:r>
      <w:proofErr w:type="spellStart"/>
      <w:r>
        <w:rPr>
          <w:rFonts w:hint="cs"/>
          <w:rtl/>
        </w:rPr>
        <w:t>בתחלת</w:t>
      </w:r>
      <w:proofErr w:type="spellEnd"/>
      <w:r>
        <w:rPr>
          <w:rFonts w:hint="cs"/>
          <w:rtl/>
        </w:rPr>
        <w:t xml:space="preserve"> פרושו </w:t>
      </w:r>
      <w:proofErr w:type="spellStart"/>
      <w:r>
        <w:rPr>
          <w:rFonts w:hint="cs"/>
          <w:rtl/>
        </w:rPr>
        <w:t>לתנדב"א</w:t>
      </w:r>
      <w:proofErr w:type="spellEnd"/>
      <w:r>
        <w:rPr>
          <w:rFonts w:hint="cs"/>
          <w:rtl/>
        </w:rPr>
        <w:t xml:space="preserve"> (הובא בספר אני לדודי ודודי לי עמ' פא הערה צב).</w:t>
      </w:r>
    </w:p>
  </w:endnote>
  <w:endnote w:id="23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ישעיה מג, ז.</w:t>
      </w:r>
    </w:p>
  </w:endnote>
  <w:endnote w:id="24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</w:t>
      </w:r>
      <w:proofErr w:type="spellStart"/>
      <w:r>
        <w:rPr>
          <w:rFonts w:hint="cs"/>
          <w:rtl/>
        </w:rPr>
        <w:t>פע"ח</w:t>
      </w:r>
      <w:proofErr w:type="spellEnd"/>
      <w:r>
        <w:rPr>
          <w:rFonts w:hint="cs"/>
          <w:rtl/>
        </w:rPr>
        <w:t xml:space="preserve"> הנ"ל הערה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NOTEREF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Ref301996594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כ</w:t>
      </w:r>
      <w:r>
        <w:rPr>
          <w:rtl/>
        </w:rPr>
        <w:fldChar w:fldCharType="end"/>
      </w:r>
      <w:r>
        <w:rPr>
          <w:rFonts w:hint="cs"/>
          <w:rtl/>
        </w:rPr>
        <w:t xml:space="preserve"> כי גם </w:t>
      </w:r>
      <w:proofErr w:type="spellStart"/>
      <w:r>
        <w:rPr>
          <w:rFonts w:hint="cs"/>
          <w:rtl/>
        </w:rPr>
        <w:t>בתחלת</w:t>
      </w:r>
      <w:proofErr w:type="spellEnd"/>
      <w:r>
        <w:rPr>
          <w:rFonts w:hint="cs"/>
          <w:rtl/>
        </w:rPr>
        <w:t xml:space="preserve"> החדש, בטרם זריחתה, נקראת הלבנה "סהר" (ודוק גם לקמן בתורה "חתן דומה למלך והכלה למלכה").</w:t>
      </w:r>
    </w:p>
  </w:endnote>
  <w:endnote w:id="25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C01F09">
        <w:rPr>
          <w:rtl/>
        </w:rPr>
        <w:t xml:space="preserve">זהר ח"א </w:t>
      </w:r>
      <w:proofErr w:type="spellStart"/>
      <w:r w:rsidRPr="00C01F09">
        <w:rPr>
          <w:rtl/>
        </w:rPr>
        <w:t>קנ</w:t>
      </w:r>
      <w:proofErr w:type="spellEnd"/>
      <w:r w:rsidRPr="00C01F09">
        <w:rPr>
          <w:rtl/>
        </w:rPr>
        <w:t>, א</w:t>
      </w:r>
      <w:r>
        <w:rPr>
          <w:rFonts w:hint="cs"/>
          <w:rtl/>
        </w:rPr>
        <w:t>;</w:t>
      </w:r>
      <w:r w:rsidRPr="00C01F09">
        <w:rPr>
          <w:rtl/>
        </w:rPr>
        <w:t xml:space="preserve"> רכה, ב</w:t>
      </w:r>
      <w:r>
        <w:rPr>
          <w:rFonts w:hint="cs"/>
          <w:rtl/>
        </w:rPr>
        <w:t>;</w:t>
      </w:r>
      <w:r w:rsidRPr="00C01F09">
        <w:rPr>
          <w:rtl/>
        </w:rPr>
        <w:t xml:space="preserve"> </w:t>
      </w:r>
      <w:proofErr w:type="spellStart"/>
      <w:r w:rsidRPr="00C01F09">
        <w:rPr>
          <w:rtl/>
        </w:rPr>
        <w:t>רמג</w:t>
      </w:r>
      <w:proofErr w:type="spellEnd"/>
      <w:r w:rsidRPr="00C01F09">
        <w:rPr>
          <w:rtl/>
        </w:rPr>
        <w:t>, א</w:t>
      </w:r>
      <w:r>
        <w:rPr>
          <w:rFonts w:hint="cs"/>
          <w:rtl/>
        </w:rPr>
        <w:t>;</w:t>
      </w:r>
      <w:r w:rsidRPr="00C01F09">
        <w:rPr>
          <w:rtl/>
        </w:rPr>
        <w:t xml:space="preserve"> </w:t>
      </w:r>
      <w:proofErr w:type="spellStart"/>
      <w:r w:rsidRPr="00C01F09">
        <w:rPr>
          <w:rtl/>
        </w:rPr>
        <w:t>ח"ב</w:t>
      </w:r>
      <w:proofErr w:type="spellEnd"/>
      <w:r w:rsidRPr="00C01F09">
        <w:rPr>
          <w:rtl/>
        </w:rPr>
        <w:t xml:space="preserve"> פה, א</w:t>
      </w:r>
      <w:r>
        <w:rPr>
          <w:rFonts w:hint="cs"/>
          <w:rtl/>
        </w:rPr>
        <w:t xml:space="preserve"> (ושם מונה בפירוש את </w:t>
      </w:r>
      <w:r w:rsidRPr="002F684B">
        <w:rPr>
          <w:rFonts w:hint="cs"/>
          <w:b/>
          <w:bCs/>
          <w:sz w:val="24"/>
          <w:szCs w:val="24"/>
          <w:rtl/>
        </w:rPr>
        <w:t>טו</w:t>
      </w:r>
      <w:r>
        <w:rPr>
          <w:rFonts w:hint="cs"/>
          <w:rtl/>
        </w:rPr>
        <w:t xml:space="preserve"> הדורות עד לשלמה);</w:t>
      </w:r>
      <w:r w:rsidRPr="00C01F09">
        <w:rPr>
          <w:rtl/>
        </w:rPr>
        <w:t xml:space="preserve"> </w:t>
      </w:r>
      <w:proofErr w:type="spellStart"/>
      <w:r w:rsidRPr="00C01F09">
        <w:rPr>
          <w:rtl/>
        </w:rPr>
        <w:t>ח"ג</w:t>
      </w:r>
      <w:proofErr w:type="spellEnd"/>
      <w:r w:rsidRPr="00C01F09">
        <w:rPr>
          <w:rtl/>
        </w:rPr>
        <w:t xml:space="preserve"> מ, ב. מו, א. וראה שמו</w:t>
      </w:r>
      <w:r>
        <w:rPr>
          <w:rFonts w:hint="cs"/>
          <w:rtl/>
        </w:rPr>
        <w:t xml:space="preserve">ת </w:t>
      </w:r>
      <w:r w:rsidRPr="00C01F09">
        <w:rPr>
          <w:rtl/>
        </w:rPr>
        <w:t>ר</w:t>
      </w:r>
      <w:r>
        <w:rPr>
          <w:rFonts w:hint="cs"/>
          <w:rtl/>
        </w:rPr>
        <w:t>בה</w:t>
      </w:r>
      <w:r w:rsidRPr="00C01F09">
        <w:rPr>
          <w:rtl/>
        </w:rPr>
        <w:t xml:space="preserve"> </w:t>
      </w:r>
      <w:proofErr w:type="spellStart"/>
      <w:r w:rsidRPr="00C01F09">
        <w:rPr>
          <w:rtl/>
        </w:rPr>
        <w:t>פט"ו</w:t>
      </w:r>
      <w:proofErr w:type="spellEnd"/>
      <w:r w:rsidRPr="00C01F09">
        <w:rPr>
          <w:rtl/>
        </w:rPr>
        <w:t xml:space="preserve">, </w:t>
      </w:r>
      <w:proofErr w:type="spellStart"/>
      <w:r w:rsidRPr="00C01F09">
        <w:rPr>
          <w:rtl/>
        </w:rPr>
        <w:t>כו</w:t>
      </w:r>
      <w:proofErr w:type="spellEnd"/>
      <w:r>
        <w:rPr>
          <w:rFonts w:hint="cs"/>
          <w:rtl/>
        </w:rPr>
        <w:t>.</w:t>
      </w:r>
    </w:p>
  </w:endnote>
  <w:endnote w:id="26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סנהדרין קב, א ושם רש"י ד"ה "פסוק זה".</w:t>
      </w:r>
    </w:p>
  </w:endnote>
  <w:endnote w:id="27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דהי"א ג, כד.</w:t>
      </w:r>
    </w:p>
  </w:endnote>
  <w:endnote w:id="28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תנחומא</w:t>
      </w:r>
      <w:proofErr w:type="spellEnd"/>
      <w:r>
        <w:rPr>
          <w:rFonts w:hint="cs"/>
          <w:rtl/>
        </w:rPr>
        <w:t xml:space="preserve"> תולדות יד.</w:t>
      </w:r>
    </w:p>
  </w:endnote>
  <w:endnote w:id="29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ברכות מ, א.</w:t>
      </w:r>
    </w:p>
  </w:endnote>
  <w:endnote w:id="30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DE195D">
        <w:rPr>
          <w:rtl/>
        </w:rPr>
        <w:t>ראה קה</w:t>
      </w:r>
      <w:r>
        <w:rPr>
          <w:rFonts w:hint="cs"/>
          <w:rtl/>
        </w:rPr>
        <w:t>לת רבה</w:t>
      </w:r>
      <w:r w:rsidRPr="00DE195D">
        <w:rPr>
          <w:rtl/>
        </w:rPr>
        <w:t xml:space="preserve"> פ"א, </w:t>
      </w:r>
      <w:proofErr w:type="spellStart"/>
      <w:r w:rsidRPr="00DE195D">
        <w:rPr>
          <w:rtl/>
        </w:rPr>
        <w:t>יג</w:t>
      </w:r>
      <w:proofErr w:type="spellEnd"/>
      <w:r w:rsidRPr="00DE195D">
        <w:rPr>
          <w:rtl/>
        </w:rPr>
        <w:t xml:space="preserve">. פ"ג, </w:t>
      </w:r>
      <w:r>
        <w:rPr>
          <w:rFonts w:hint="cs"/>
          <w:rtl/>
        </w:rPr>
        <w:t>י</w:t>
      </w:r>
      <w:r w:rsidRPr="00DE195D">
        <w:rPr>
          <w:rtl/>
        </w:rPr>
        <w:t xml:space="preserve">. רמב"ן ובחיי </w:t>
      </w:r>
      <w:proofErr w:type="spellStart"/>
      <w:r w:rsidRPr="00DE195D">
        <w:rPr>
          <w:rtl/>
        </w:rPr>
        <w:t>ס"פ</w:t>
      </w:r>
      <w:proofErr w:type="spellEnd"/>
      <w:r w:rsidRPr="00DE195D">
        <w:rPr>
          <w:rtl/>
        </w:rPr>
        <w:t xml:space="preserve"> חיי שרה. שערי תשובה </w:t>
      </w:r>
      <w:proofErr w:type="spellStart"/>
      <w:r w:rsidRPr="00DE195D">
        <w:rPr>
          <w:rtl/>
        </w:rPr>
        <w:t>לר"י</w:t>
      </w:r>
      <w:proofErr w:type="spellEnd"/>
      <w:r w:rsidRPr="00DE195D">
        <w:rPr>
          <w:rtl/>
        </w:rPr>
        <w:t xml:space="preserve"> ב, </w:t>
      </w:r>
      <w:proofErr w:type="spellStart"/>
      <w:r w:rsidRPr="00DE195D">
        <w:rPr>
          <w:rtl/>
        </w:rPr>
        <w:t>כז</w:t>
      </w:r>
      <w:proofErr w:type="spellEnd"/>
      <w:r w:rsidRPr="00DE195D">
        <w:rPr>
          <w:rtl/>
        </w:rPr>
        <w:t xml:space="preserve">. </w:t>
      </w:r>
      <w:proofErr w:type="spellStart"/>
      <w:r w:rsidRPr="00DE195D">
        <w:rPr>
          <w:rtl/>
        </w:rPr>
        <w:t>מנוה"מ</w:t>
      </w:r>
      <w:proofErr w:type="spellEnd"/>
      <w:r w:rsidRPr="00DE195D">
        <w:rPr>
          <w:rtl/>
        </w:rPr>
        <w:t xml:space="preserve"> </w:t>
      </w:r>
      <w:proofErr w:type="spellStart"/>
      <w:r w:rsidRPr="00DE195D">
        <w:rPr>
          <w:rtl/>
        </w:rPr>
        <w:t>להר"י</w:t>
      </w:r>
      <w:proofErr w:type="spellEnd"/>
      <w:r w:rsidRPr="00DE195D">
        <w:rPr>
          <w:rtl/>
        </w:rPr>
        <w:t xml:space="preserve"> </w:t>
      </w:r>
      <w:proofErr w:type="spellStart"/>
      <w:r w:rsidRPr="00DE195D">
        <w:rPr>
          <w:rtl/>
        </w:rPr>
        <w:t>אלנקאווה</w:t>
      </w:r>
      <w:proofErr w:type="spellEnd"/>
      <w:r w:rsidRPr="00DE195D">
        <w:rPr>
          <w:rtl/>
        </w:rPr>
        <w:t xml:space="preserve"> ח"ד </w:t>
      </w:r>
      <w:proofErr w:type="spellStart"/>
      <w:r w:rsidRPr="00DE195D">
        <w:rPr>
          <w:rtl/>
        </w:rPr>
        <w:t>פי"ד</w:t>
      </w:r>
      <w:proofErr w:type="spellEnd"/>
      <w:r w:rsidRPr="00DE195D">
        <w:rPr>
          <w:rtl/>
        </w:rPr>
        <w:t xml:space="preserve"> ע' 250.</w:t>
      </w:r>
    </w:p>
  </w:endnote>
  <w:endnote w:id="31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ה בתורה "ידיעה ואי-ידיעה" (וביין משמח ח"ד שער ד בתורה "נוגע ואינו נוגע").</w:t>
      </w:r>
    </w:p>
  </w:endnote>
  <w:endnote w:id="32">
    <w:p w:rsidR="00AD499E" w:rsidRDefault="00AD499E" w:rsidP="00AD499E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חגיגה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>, א. (וראה לב לדעת עמ' יא ובביאור ט שם).</w:t>
      </w:r>
    </w:p>
  </w:endnote>
  <w:endnote w:id="33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ב,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.</w:t>
      </w:r>
    </w:p>
  </w:endnote>
  <w:endnote w:id="34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הקדמת שכינה ביניהם הערה ז (עמ' כד), אני לדודי ודודי לי מאמר "חידוש הישנות" ויין משמח ח"ד שער שני בתורה "לא </w:t>
      </w:r>
      <w:proofErr w:type="spellStart"/>
      <w:r>
        <w:rPr>
          <w:rFonts w:hint="cs"/>
          <w:rtl/>
        </w:rPr>
        <w:t>יחפֹץ</w:t>
      </w:r>
      <w:proofErr w:type="spellEnd"/>
      <w:r>
        <w:rPr>
          <w:rFonts w:hint="cs"/>
          <w:rtl/>
        </w:rPr>
        <w:t xml:space="preserve"> כסיל בתבונה".</w:t>
      </w:r>
    </w:p>
  </w:endnote>
  <w:endnote w:id="35">
    <w:p w:rsidR="00AD499E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יומא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 xml:space="preserve">, ב. (וראה שם כי לרוב הדעות החכמים שנשאו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"</w:t>
      </w:r>
      <w:proofErr w:type="spellStart"/>
      <w:r>
        <w:rPr>
          <w:rFonts w:hint="cs"/>
          <w:rtl/>
        </w:rPr>
        <w:t>ליומא</w:t>
      </w:r>
      <w:proofErr w:type="spellEnd"/>
      <w:r>
        <w:rPr>
          <w:rFonts w:hint="cs"/>
          <w:rtl/>
        </w:rPr>
        <w:t>", כדי שתהיה בבחינת "פת בסלו", לא באו עליה וממילא היא נותרה עבורם נעלמה ובתולה כפשוטם של דברים).</w:t>
      </w:r>
    </w:p>
  </w:endnote>
  <w:endnote w:id="36">
    <w:p w:rsidR="00AD499E" w:rsidRPr="00423D7A" w:rsidRDefault="00AD499E" w:rsidP="00AD499E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תו"א</w:t>
      </w:r>
      <w:proofErr w:type="spellEnd"/>
      <w:r>
        <w:rPr>
          <w:rFonts w:hint="cs"/>
          <w:rtl/>
        </w:rPr>
        <w:t xml:space="preserve"> ח, ג.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177" w:rsidRDefault="00675177" w:rsidP="00AD499E">
      <w:pPr>
        <w:spacing w:after="0" w:line="240" w:lineRule="auto"/>
      </w:pPr>
      <w:r>
        <w:separator/>
      </w:r>
    </w:p>
  </w:footnote>
  <w:footnote w:type="continuationSeparator" w:id="0">
    <w:p w:rsidR="00675177" w:rsidRDefault="00675177" w:rsidP="00AD4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D4463"/>
    <w:multiLevelType w:val="hybridMultilevel"/>
    <w:tmpl w:val="A3C42CC0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8C"/>
    <w:rsid w:val="00061E65"/>
    <w:rsid w:val="00675177"/>
    <w:rsid w:val="00AC2310"/>
    <w:rsid w:val="00AD499E"/>
    <w:rsid w:val="00CD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AD499E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AD499E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AD499E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AD499E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AD499E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AD499E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AD499E"/>
    <w:rPr>
      <w:rFonts w:ascii="Times New Roman" w:eastAsia="Times New Roman" w:hAnsi="Times New Roman" w:cs="oprFrank"/>
      <w:sz w:val="20"/>
      <w:szCs w:val="23"/>
      <w:lang w:eastAsia="he-IL"/>
    </w:rPr>
  </w:style>
  <w:style w:type="paragraph" w:customStyle="1" w:styleId="a7">
    <w:name w:val="פתיח תו"/>
    <w:basedOn w:val="a"/>
    <w:link w:val="a8"/>
    <w:rsid w:val="00AD499E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AD499E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AD499E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AD499E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AD499E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AD499E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AD499E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AD499E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AD499E"/>
    <w:rPr>
      <w:rFonts w:ascii="Times New Roman" w:eastAsia="Times New Roman" w:hAnsi="Times New Roman" w:cs="oprFrank"/>
      <w:sz w:val="20"/>
      <w:szCs w:val="23"/>
      <w:lang w:eastAsia="he-IL"/>
    </w:rPr>
  </w:style>
  <w:style w:type="paragraph" w:customStyle="1" w:styleId="a7">
    <w:name w:val="פתיח תו"/>
    <w:basedOn w:val="a"/>
    <w:link w:val="a8"/>
    <w:rsid w:val="00AD499E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AD499E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2017-08-16T09:55:00Z</dcterms:created>
  <dcterms:modified xsi:type="dcterms:W3CDTF">2017-08-16T09:55:00Z</dcterms:modified>
</cp:coreProperties>
</file>