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32D" w:rsidRDefault="00CF432D" w:rsidP="00CF432D">
      <w:pPr>
        <w:pStyle w:val="2"/>
        <w:rPr>
          <w:rFonts w:hint="cs"/>
          <w:rtl/>
        </w:rPr>
      </w:pPr>
      <w:bookmarkStart w:id="0" w:name="_Toc302128605"/>
      <w:bookmarkStart w:id="1" w:name="_Ref302128973"/>
      <w:r>
        <w:rPr>
          <w:rFonts w:hint="cs"/>
          <w:rtl/>
        </w:rPr>
        <w:t>"וידם השמש וירח עמד"</w:t>
      </w:r>
      <w:bookmarkEnd w:id="0"/>
      <w:bookmarkEnd w:id="1"/>
    </w:p>
    <w:p w:rsidR="00CF432D" w:rsidRPr="002E2CC9" w:rsidRDefault="00CF432D" w:rsidP="00CF432D">
      <w:pPr>
        <w:keepNext/>
        <w:framePr w:dropCap="drop" w:lines="2" w:hSpace="57" w:wrap="around" w:vAnchor="text" w:hAnchor="text" w:xAlign="right"/>
        <w:spacing w:after="0" w:line="760" w:lineRule="exact"/>
        <w:textAlignment w:val="baseline"/>
        <w:rPr>
          <w:rStyle w:val="a8"/>
          <w:rtl/>
        </w:rPr>
      </w:pPr>
      <w:r w:rsidRPr="002E2CC9">
        <w:rPr>
          <w:rStyle w:val="a8"/>
          <w:rFonts w:hint="cs"/>
          <w:rtl/>
        </w:rPr>
        <w:t>א</w:t>
      </w:r>
    </w:p>
    <w:p w:rsidR="00CF432D" w:rsidRDefault="00CF432D" w:rsidP="00CF432D">
      <w:pPr>
        <w:rPr>
          <w:rFonts w:hint="cs"/>
          <w:rtl/>
        </w:rPr>
      </w:pPr>
      <w:r>
        <w:rPr>
          <w:rFonts w:hint="cs"/>
          <w:rtl/>
        </w:rPr>
        <w:t>חד הדימויים של חתן וכלה הוא שמש וירח</w:t>
      </w:r>
      <w:r w:rsidRPr="008636EE">
        <w:rPr>
          <w:rStyle w:val="a3"/>
          <w:rtl/>
        </w:rPr>
        <w:endnoteReference w:id="1"/>
      </w:r>
      <w:r>
        <w:rPr>
          <w:rFonts w:hint="cs"/>
          <w:rtl/>
        </w:rPr>
        <w:t>, שקשר הכלולות ביניהם מומחש בכך שכל אחד מהם נכלל בשיר המיוחד של זולתו ב"פרק שירה". שיר השמש הוא "שמש ירח עמד זבֻלה לאור חציך יהלכו לנגה ברק חניתך"</w:t>
      </w:r>
      <w:r w:rsidRPr="008636EE">
        <w:rPr>
          <w:rStyle w:val="a3"/>
          <w:rtl/>
        </w:rPr>
        <w:endnoteReference w:id="2"/>
      </w:r>
      <w:r>
        <w:rPr>
          <w:rFonts w:hint="cs"/>
          <w:rtl/>
        </w:rPr>
        <w:t xml:space="preserve"> ושיר הירח הוא "עשה ירח למועדים שמש ידע מבואו"</w:t>
      </w:r>
      <w:r w:rsidRPr="008636EE">
        <w:rPr>
          <w:rStyle w:val="a3"/>
          <w:rtl/>
        </w:rPr>
        <w:endnoteReference w:id="3"/>
      </w:r>
      <w:r>
        <w:rPr>
          <w:rFonts w:hint="cs"/>
          <w:rtl/>
        </w:rPr>
        <w:t>. פסוק מובהק נוסף של שמש וירח מתאר את הנס שנעשה ליהושע בן נון שהעמיד את השמש והירח באמרו "שמש בגבעון דום וירח בעמק אילון"</w:t>
      </w:r>
      <w:r w:rsidRPr="008636EE">
        <w:rPr>
          <w:rStyle w:val="a3"/>
          <w:rtl/>
        </w:rPr>
        <w:endnoteReference w:id="4"/>
      </w:r>
      <w:r>
        <w:rPr>
          <w:rFonts w:hint="cs"/>
          <w:rtl/>
        </w:rPr>
        <w:t xml:space="preserve"> (ומפורש</w:t>
      </w:r>
      <w:r w:rsidRPr="008636EE">
        <w:rPr>
          <w:rStyle w:val="a3"/>
          <w:rtl/>
        </w:rPr>
        <w:endnoteReference w:id="5"/>
      </w:r>
      <w:r>
        <w:rPr>
          <w:rFonts w:hint="cs"/>
          <w:rtl/>
        </w:rPr>
        <w:t xml:space="preserve"> כי העמיד את השמש ואת הירח כאשר אמר במקומם את השיר המיוחד להם ב"פרק שירה", וכך הם חדלו משירם-</w:t>
      </w:r>
      <w:proofErr w:type="spellStart"/>
      <w:r>
        <w:rPr>
          <w:rFonts w:hint="cs"/>
          <w:rtl/>
        </w:rPr>
        <w:t>סבובם</w:t>
      </w:r>
      <w:proofErr w:type="spellEnd"/>
      <w:r>
        <w:rPr>
          <w:rFonts w:hint="cs"/>
          <w:rtl/>
        </w:rPr>
        <w:t>). גם פסוק זה מתאים לדימוי של חתן וכלה, שהרי השמש דממה ב</w:t>
      </w:r>
      <w:r w:rsidRPr="00D91656">
        <w:rPr>
          <w:rStyle w:val="a4"/>
          <w:rFonts w:hint="cs"/>
          <w:rtl/>
        </w:rPr>
        <w:t>גבעון</w:t>
      </w:r>
      <w:r>
        <w:rPr>
          <w:rFonts w:hint="cs"/>
          <w:rtl/>
        </w:rPr>
        <w:t>, לשון גבעה שבבחינת "חותם בולט" המאפיין את החתן, ואילו הירח עמד ב</w:t>
      </w:r>
      <w:r w:rsidRPr="00D91656">
        <w:rPr>
          <w:rStyle w:val="a4"/>
          <w:rFonts w:hint="cs"/>
          <w:rtl/>
        </w:rPr>
        <w:t>עמק</w:t>
      </w:r>
      <w:r>
        <w:rPr>
          <w:rFonts w:hint="cs"/>
          <w:rtl/>
        </w:rPr>
        <w:t xml:space="preserve"> אילון, עמק שבבחינת "חותם שוקע" המאפיין את הכלה.</w:t>
      </w:r>
    </w:p>
    <w:p w:rsidR="00CF432D" w:rsidRDefault="00CF432D" w:rsidP="00CF432D">
      <w:pPr>
        <w:rPr>
          <w:rFonts w:hint="cs"/>
          <w:rtl/>
        </w:rPr>
      </w:pPr>
      <w:r>
        <w:rPr>
          <w:rFonts w:hint="cs"/>
          <w:rtl/>
        </w:rPr>
        <w:t>הסיבוב הנצחי של השמש והירח ומערכות היחסים המשתנות ביניהם במהלך החדש משתקפים בכל חיי הנישואין</w:t>
      </w:r>
      <w:r w:rsidRPr="008636EE">
        <w:rPr>
          <w:rStyle w:val="a3"/>
          <w:rtl/>
        </w:rPr>
        <w:endnoteReference w:id="6"/>
      </w:r>
      <w:r>
        <w:rPr>
          <w:rFonts w:hint="cs"/>
          <w:rtl/>
        </w:rPr>
        <w:t xml:space="preserve">, אך רגע העמידה של השמש והירח הוא עת </w:t>
      </w:r>
      <w:proofErr w:type="spellStart"/>
      <w:r>
        <w:rPr>
          <w:rFonts w:hint="cs"/>
          <w:rtl/>
        </w:rPr>
        <w:t>עמדם</w:t>
      </w:r>
      <w:proofErr w:type="spellEnd"/>
      <w:r>
        <w:rPr>
          <w:rFonts w:hint="cs"/>
          <w:rtl/>
        </w:rPr>
        <w:t xml:space="preserve"> של החתן והכלה תחת החופה </w:t>
      </w:r>
      <w:r>
        <w:rPr>
          <w:rtl/>
        </w:rPr>
        <w:t>–</w:t>
      </w:r>
      <w:r>
        <w:rPr>
          <w:rFonts w:hint="cs"/>
          <w:rtl/>
        </w:rPr>
        <w:t xml:space="preserve"> זמן של עמידת דום שקטה, המוקדש להכנה פנימית לקראת חיי הנישואין שלהם</w:t>
      </w:r>
      <w:r w:rsidRPr="008636EE">
        <w:rPr>
          <w:rStyle w:val="a3"/>
          <w:rtl/>
        </w:rPr>
        <w:endnoteReference w:id="7"/>
      </w:r>
      <w:r>
        <w:rPr>
          <w:rFonts w:hint="cs"/>
          <w:rtl/>
        </w:rPr>
        <w:t>. לכן, זהו זמן מתאים לכוון בו ל"שירת יהושע" המתארת את עמידת השמש והירח (בין עשר השירות בתנ"ך</w:t>
      </w:r>
      <w:r w:rsidRPr="008636EE">
        <w:rPr>
          <w:rStyle w:val="a3"/>
          <w:rtl/>
        </w:rPr>
        <w:endnoteReference w:id="8"/>
      </w:r>
      <w:r>
        <w:rPr>
          <w:rFonts w:hint="cs"/>
          <w:rtl/>
        </w:rPr>
        <w:t xml:space="preserve"> מכוונת שירת יהושע כנגד החסד</w:t>
      </w:r>
      <w:r w:rsidRPr="008636EE">
        <w:rPr>
          <w:rStyle w:val="a3"/>
          <w:rtl/>
        </w:rPr>
        <w:endnoteReference w:id="9"/>
      </w:r>
      <w:r>
        <w:rPr>
          <w:rFonts w:hint="cs"/>
          <w:rtl/>
        </w:rPr>
        <w:t>, כמתאים לאהבת חתן וכלה שעומדים לבנות את ביתם באופן של "עולם חסד יבנה"</w:t>
      </w:r>
      <w:r w:rsidRPr="008636EE">
        <w:rPr>
          <w:rStyle w:val="a3"/>
          <w:rtl/>
        </w:rPr>
        <w:endnoteReference w:id="10"/>
      </w:r>
      <w:r>
        <w:rPr>
          <w:rFonts w:hint="cs"/>
          <w:rtl/>
        </w:rPr>
        <w:t>).</w:t>
      </w:r>
    </w:p>
    <w:p w:rsidR="00CF432D" w:rsidRDefault="00CF432D" w:rsidP="00CF432D">
      <w:pPr>
        <w:rPr>
          <w:rFonts w:hint="cs"/>
          <w:rtl/>
        </w:rPr>
      </w:pPr>
      <w:r>
        <w:rPr>
          <w:rFonts w:hint="cs"/>
          <w:rtl/>
        </w:rPr>
        <w:t xml:space="preserve">עמידת השמש והירח מתוארת ב"שירת יהושע" במילים "וידֹם השמש וירח עמד עד </w:t>
      </w:r>
      <w:proofErr w:type="spellStart"/>
      <w:r>
        <w:rPr>
          <w:rFonts w:hint="cs"/>
          <w:rtl/>
        </w:rPr>
        <w:t>יק</w:t>
      </w:r>
      <w:r>
        <w:rPr>
          <w:rFonts w:hint="eastAsia"/>
          <w:rtl/>
        </w:rPr>
        <w:t>ֹ</w:t>
      </w:r>
      <w:r>
        <w:rPr>
          <w:rFonts w:hint="cs"/>
          <w:rtl/>
        </w:rPr>
        <w:t>ם</w:t>
      </w:r>
      <w:proofErr w:type="spellEnd"/>
      <w:r>
        <w:rPr>
          <w:rFonts w:hint="cs"/>
          <w:rtl/>
        </w:rPr>
        <w:t xml:space="preserve"> גוי </w:t>
      </w:r>
      <w:proofErr w:type="spellStart"/>
      <w:r>
        <w:rPr>
          <w:rFonts w:hint="cs"/>
          <w:rtl/>
        </w:rPr>
        <w:t>א</w:t>
      </w:r>
      <w:r>
        <w:rPr>
          <w:rFonts w:hint="eastAsia"/>
          <w:rtl/>
        </w:rPr>
        <w:t>ֹ</w:t>
      </w:r>
      <w:r>
        <w:rPr>
          <w:rFonts w:hint="cs"/>
          <w:rtl/>
        </w:rPr>
        <w:t>יביו</w:t>
      </w:r>
      <w:proofErr w:type="spellEnd"/>
      <w:r>
        <w:rPr>
          <w:rFonts w:hint="cs"/>
          <w:rtl/>
        </w:rPr>
        <w:t>"</w:t>
      </w:r>
      <w:r w:rsidRPr="008636EE">
        <w:rPr>
          <w:rStyle w:val="a3"/>
          <w:rtl/>
        </w:rPr>
        <w:endnoteReference w:id="11"/>
      </w:r>
      <w:r>
        <w:rPr>
          <w:rFonts w:hint="cs"/>
          <w:rtl/>
        </w:rPr>
        <w:t xml:space="preserve">. מהם האויבים שבהם יש לנקום ואותם יש להכרית בעת העמידה תחת החופה? האויב המר של כל חיל בצבאות ה' הוא היצר הרע בכלל, והאויב בו רוצים לנקום החתן והכלה, העומדים דום </w:t>
      </w:r>
      <w:proofErr w:type="spellStart"/>
      <w:r>
        <w:rPr>
          <w:rFonts w:hint="cs"/>
          <w:rtl/>
        </w:rPr>
        <w:t>כחילים</w:t>
      </w:r>
      <w:proofErr w:type="spellEnd"/>
      <w:r>
        <w:rPr>
          <w:rFonts w:hint="cs"/>
          <w:rtl/>
        </w:rPr>
        <w:t xml:space="preserve"> תחת החופה ומתכוננים לתפקידם בהעמדת צבאות-צבאות של ילדים </w:t>
      </w:r>
      <w:proofErr w:type="spellStart"/>
      <w:r>
        <w:rPr>
          <w:rFonts w:hint="cs"/>
          <w:rtl/>
        </w:rPr>
        <w:t>בעזהי"ת</w:t>
      </w:r>
      <w:proofErr w:type="spellEnd"/>
      <w:r>
        <w:rPr>
          <w:rFonts w:hint="cs"/>
          <w:rtl/>
        </w:rPr>
        <w:t>, הוא "</w:t>
      </w:r>
      <w:proofErr w:type="spellStart"/>
      <w:r>
        <w:rPr>
          <w:rFonts w:hint="cs"/>
          <w:rtl/>
        </w:rPr>
        <w:t>יצרא</w:t>
      </w:r>
      <w:proofErr w:type="spellEnd"/>
      <w:r>
        <w:rPr>
          <w:rFonts w:hint="cs"/>
          <w:rtl/>
        </w:rPr>
        <w:t xml:space="preserve"> </w:t>
      </w:r>
      <w:proofErr w:type="spellStart"/>
      <w:r>
        <w:rPr>
          <w:rFonts w:hint="cs"/>
          <w:rtl/>
        </w:rPr>
        <w:t>דעריות</w:t>
      </w:r>
      <w:proofErr w:type="spellEnd"/>
      <w:r>
        <w:rPr>
          <w:rFonts w:hint="cs"/>
          <w:rtl/>
        </w:rPr>
        <w:t xml:space="preserve">" שאם לא </w:t>
      </w:r>
      <w:r>
        <w:rPr>
          <w:rFonts w:hint="cs"/>
          <w:rtl/>
        </w:rPr>
        <w:lastRenderedPageBreak/>
        <w:t xml:space="preserve">יזכו חלילה עלול לבעור ביניהם כ"אש </w:t>
      </w:r>
      <w:proofErr w:type="spellStart"/>
      <w:r>
        <w:rPr>
          <w:rFonts w:hint="cs"/>
          <w:rtl/>
        </w:rPr>
        <w:t>אוכלתן</w:t>
      </w:r>
      <w:proofErr w:type="spellEnd"/>
      <w:r>
        <w:rPr>
          <w:rFonts w:hint="cs"/>
          <w:rtl/>
        </w:rPr>
        <w:t>"</w:t>
      </w:r>
      <w:r w:rsidRPr="008636EE">
        <w:rPr>
          <w:rStyle w:val="a3"/>
          <w:rtl/>
        </w:rPr>
        <w:endnoteReference w:id="12"/>
      </w:r>
      <w:r>
        <w:rPr>
          <w:rFonts w:hint="cs"/>
          <w:rtl/>
        </w:rPr>
        <w:t>. בחתונה גדלים בני הזוג ועולים מעבודת "</w:t>
      </w:r>
      <w:proofErr w:type="spellStart"/>
      <w:r>
        <w:rPr>
          <w:rFonts w:hint="cs"/>
          <w:rtl/>
        </w:rPr>
        <w:t>אתכפיא</w:t>
      </w:r>
      <w:proofErr w:type="spellEnd"/>
      <w:r>
        <w:rPr>
          <w:rFonts w:hint="cs"/>
          <w:rtl/>
        </w:rPr>
        <w:t>" לעבודת "</w:t>
      </w:r>
      <w:proofErr w:type="spellStart"/>
      <w:r>
        <w:rPr>
          <w:rFonts w:hint="cs"/>
          <w:rtl/>
        </w:rPr>
        <w:t>אתהפכא</w:t>
      </w:r>
      <w:proofErr w:type="spellEnd"/>
      <w:r>
        <w:rPr>
          <w:rFonts w:hint="cs"/>
          <w:rtl/>
        </w:rPr>
        <w:t>"</w:t>
      </w:r>
      <w:r w:rsidRPr="008636EE">
        <w:rPr>
          <w:rStyle w:val="a3"/>
          <w:rtl/>
        </w:rPr>
        <w:endnoteReference w:id="13"/>
      </w:r>
      <w:r>
        <w:rPr>
          <w:rFonts w:hint="cs"/>
          <w:rtl/>
        </w:rPr>
        <w:t>, וכאשר "זכו שכינה ביניהן" הם מסוגלים להפוך גם את האש הזרה לאש קדש, "</w:t>
      </w:r>
      <w:proofErr w:type="spellStart"/>
      <w:r>
        <w:rPr>
          <w:rFonts w:hint="cs"/>
          <w:rtl/>
        </w:rPr>
        <w:t>שלהובין</w:t>
      </w:r>
      <w:proofErr w:type="spellEnd"/>
      <w:r>
        <w:rPr>
          <w:rFonts w:hint="cs"/>
          <w:rtl/>
        </w:rPr>
        <w:t xml:space="preserve"> </w:t>
      </w:r>
      <w:proofErr w:type="spellStart"/>
      <w:r>
        <w:rPr>
          <w:rFonts w:hint="cs"/>
          <w:rtl/>
        </w:rPr>
        <w:t>דרחימותא</w:t>
      </w:r>
      <w:proofErr w:type="spellEnd"/>
      <w:r>
        <w:rPr>
          <w:rFonts w:hint="cs"/>
          <w:rtl/>
        </w:rPr>
        <w:t>"</w:t>
      </w:r>
      <w:r w:rsidRPr="008636EE">
        <w:rPr>
          <w:rStyle w:val="a3"/>
          <w:rtl/>
        </w:rPr>
        <w:endnoteReference w:id="14"/>
      </w:r>
      <w:r>
        <w:rPr>
          <w:rFonts w:hint="cs"/>
          <w:rtl/>
        </w:rPr>
        <w:t>.</w:t>
      </w:r>
    </w:p>
    <w:p w:rsidR="00CF432D" w:rsidRDefault="00CF432D" w:rsidP="00CF432D">
      <w:pPr>
        <w:rPr>
          <w:rFonts w:hint="cs"/>
          <w:rtl/>
        </w:rPr>
      </w:pPr>
      <w:r>
        <w:rPr>
          <w:rFonts w:hint="cs"/>
          <w:rtl/>
        </w:rPr>
        <w:t xml:space="preserve">יש מי שטועה לחשוב כי קידוש האש נעשה מיניה וביה, כאשר מה שהיה קודם אש </w:t>
      </w:r>
      <w:proofErr w:type="spellStart"/>
      <w:r>
        <w:rPr>
          <w:rFonts w:hint="cs"/>
          <w:rtl/>
        </w:rPr>
        <w:t>תאוה</w:t>
      </w:r>
      <w:proofErr w:type="spellEnd"/>
      <w:r>
        <w:rPr>
          <w:rFonts w:hint="cs"/>
          <w:rtl/>
        </w:rPr>
        <w:t xml:space="preserve"> זרה מקבל בנישואין גושפנקא של היתר ושל מצוה. אך אליבא דאמת, כל תיקון </w:t>
      </w:r>
      <w:proofErr w:type="spellStart"/>
      <w:r>
        <w:rPr>
          <w:rFonts w:hint="cs"/>
          <w:rtl/>
        </w:rPr>
        <w:t>ו"אתהפכא</w:t>
      </w:r>
      <w:proofErr w:type="spellEnd"/>
      <w:r>
        <w:rPr>
          <w:rFonts w:hint="cs"/>
          <w:rtl/>
        </w:rPr>
        <w:t xml:space="preserve">" צריכים </w:t>
      </w:r>
      <w:proofErr w:type="spellStart"/>
      <w:r>
        <w:rPr>
          <w:rFonts w:hint="cs"/>
          <w:rtl/>
        </w:rPr>
        <w:t>להעשות</w:t>
      </w:r>
      <w:proofErr w:type="spellEnd"/>
      <w:r>
        <w:rPr>
          <w:rFonts w:hint="cs"/>
          <w:rtl/>
        </w:rPr>
        <w:t xml:space="preserve"> בסדר של הכנעה-הבדלה-המתקה, כפי שהורה מורנו הבעל שם טוב</w:t>
      </w:r>
      <w:r w:rsidRPr="008636EE">
        <w:rPr>
          <w:rStyle w:val="a3"/>
          <w:rtl/>
        </w:rPr>
        <w:endnoteReference w:id="15"/>
      </w:r>
      <w:r>
        <w:rPr>
          <w:rFonts w:hint="cs"/>
          <w:rtl/>
        </w:rPr>
        <w:t xml:space="preserve">: ראשית צריכה להיות עבודה של "חש", שתיקה מתוך הכנעה, תוך כדי כך זוכים ל"מל" ההבדלה במילת וכריתת הערלה, ורק לבסוף ניתן להגיע להמתקה ב"מל" מלשון מלול ודבור (שהרי כל עוד מקושר האדם לרע המעורב </w:t>
      </w:r>
      <w:proofErr w:type="spellStart"/>
      <w:r>
        <w:rPr>
          <w:rFonts w:hint="cs"/>
          <w:rtl/>
        </w:rPr>
        <w:t>במדה</w:t>
      </w:r>
      <w:proofErr w:type="spellEnd"/>
      <w:r>
        <w:rPr>
          <w:rFonts w:hint="cs"/>
          <w:rtl/>
        </w:rPr>
        <w:t xml:space="preserve"> אין הוא יכול להעלותה לקדושה</w:t>
      </w:r>
      <w:r w:rsidRPr="008636EE">
        <w:rPr>
          <w:rStyle w:val="a3"/>
          <w:rtl/>
        </w:rPr>
        <w:endnoteReference w:id="16"/>
      </w:r>
      <w:r>
        <w:rPr>
          <w:rFonts w:hint="cs"/>
          <w:rtl/>
        </w:rPr>
        <w:t xml:space="preserve">). ראשית יש להשתיק את </w:t>
      </w:r>
      <w:proofErr w:type="spellStart"/>
      <w:r>
        <w:rPr>
          <w:rFonts w:hint="cs"/>
          <w:rtl/>
        </w:rPr>
        <w:t>התאוה</w:t>
      </w:r>
      <w:proofErr w:type="spellEnd"/>
      <w:r>
        <w:rPr>
          <w:rFonts w:hint="cs"/>
          <w:rtl/>
        </w:rPr>
        <w:t xml:space="preserve"> (כפי שאמור בט"ו באב, יום שמחת הנישואין</w:t>
      </w:r>
      <w:r w:rsidRPr="008636EE">
        <w:rPr>
          <w:rStyle w:val="a3"/>
          <w:rtl/>
        </w:rPr>
        <w:endnoteReference w:id="17"/>
      </w:r>
      <w:r>
        <w:rPr>
          <w:rFonts w:hint="cs"/>
          <w:rtl/>
        </w:rPr>
        <w:t xml:space="preserve">, "תשש </w:t>
      </w:r>
      <w:proofErr w:type="spellStart"/>
      <w:r>
        <w:rPr>
          <w:rFonts w:hint="cs"/>
          <w:rtl/>
        </w:rPr>
        <w:t>כחה</w:t>
      </w:r>
      <w:proofErr w:type="spellEnd"/>
      <w:r>
        <w:rPr>
          <w:rFonts w:hint="cs"/>
          <w:rtl/>
        </w:rPr>
        <w:t xml:space="preserve"> של חמה בישא"</w:t>
      </w:r>
      <w:r w:rsidRPr="008636EE">
        <w:rPr>
          <w:rStyle w:val="a3"/>
          <w:rtl/>
        </w:rPr>
        <w:endnoteReference w:id="18"/>
      </w:r>
      <w:r>
        <w:rPr>
          <w:rFonts w:hint="cs"/>
          <w:rtl/>
        </w:rPr>
        <w:t xml:space="preserve">), ותוך כדי כך </w:t>
      </w:r>
      <w:proofErr w:type="spellStart"/>
      <w:r>
        <w:rPr>
          <w:rFonts w:hint="cs"/>
          <w:rtl/>
        </w:rPr>
        <w:t>להלחם</w:t>
      </w:r>
      <w:proofErr w:type="spellEnd"/>
      <w:r>
        <w:rPr>
          <w:rFonts w:hint="cs"/>
          <w:rtl/>
        </w:rPr>
        <w:t xml:space="preserve"> ולבער ממנה את כל הסיגים הפסולים, ורק לאחר מכן ניתן להמתיק את האש ולהפכה לאש קדש של אהבה.</w:t>
      </w:r>
    </w:p>
    <w:p w:rsidR="00CF432D" w:rsidRDefault="00CF432D" w:rsidP="00CF432D">
      <w:pPr>
        <w:rPr>
          <w:rFonts w:hint="cs"/>
          <w:rtl/>
        </w:rPr>
      </w:pPr>
      <w:r>
        <w:rPr>
          <w:rFonts w:hint="cs"/>
          <w:rtl/>
        </w:rPr>
        <w:t xml:space="preserve">בעת העמידה תחת החופה ישנה סגולה לחולל את שני המהלכים הללו: עמידה-דממה של "חש" (הכנעה), "וידם השמש וירח עמד", שבמהלכה זוכים לכריתת הקליפות והבדלה מהן, "עד יקום גוי אויביו", בזמן מסוגל זה בו ניתן להפטר מכל הבעיות הנפשיות שקדמו לחיי הנישואין. כאשר זוכים לעבודות ההכנעה וההבדלה הללו בעת העמידה תחת החופה ניתן לצאת ממנה למסלול הקבוע של קיום מצוות הנישואין בהתלהבות אש קדש של המתקה </w:t>
      </w:r>
      <w:r>
        <w:rPr>
          <w:rtl/>
        </w:rPr>
        <w:t>–</w:t>
      </w:r>
      <w:r>
        <w:rPr>
          <w:rFonts w:hint="cs"/>
          <w:rtl/>
        </w:rPr>
        <w:t xml:space="preserve"> "והוא כחתן יֹצא מחֻפתו ישיש כגבור לרוץ א</w:t>
      </w:r>
      <w:r>
        <w:rPr>
          <w:rFonts w:hint="eastAsia"/>
          <w:rtl/>
        </w:rPr>
        <w:t>ֹ</w:t>
      </w:r>
      <w:r>
        <w:rPr>
          <w:rFonts w:hint="cs"/>
          <w:rtl/>
        </w:rPr>
        <w:t>רח"</w:t>
      </w:r>
      <w:r w:rsidRPr="008636EE">
        <w:rPr>
          <w:rStyle w:val="a3"/>
          <w:rtl/>
        </w:rPr>
        <w:endnoteReference w:id="19"/>
      </w:r>
      <w:r>
        <w:rPr>
          <w:rFonts w:hint="cs"/>
          <w:rtl/>
        </w:rPr>
        <w:t xml:space="preserve">. </w:t>
      </w:r>
    </w:p>
    <w:p w:rsidR="005F4A47" w:rsidRDefault="00CF432D" w:rsidP="00CF432D">
      <w:r w:rsidRPr="000C5E55">
        <w:rPr>
          <w:rFonts w:hint="cs"/>
          <w:rtl/>
        </w:rPr>
        <w:t xml:space="preserve">תיאור השמש בפסוק "ישיש כגבור לרוץ </w:t>
      </w:r>
      <w:r w:rsidRPr="00D91656">
        <w:rPr>
          <w:rStyle w:val="a4"/>
          <w:rFonts w:hint="cs"/>
          <w:rtl/>
        </w:rPr>
        <w:t>אורח</w:t>
      </w:r>
      <w:r w:rsidRPr="000C5E55">
        <w:rPr>
          <w:rFonts w:hint="cs"/>
          <w:rtl/>
        </w:rPr>
        <w:t>" רומז לריצתה לפקוד את ה</w:t>
      </w:r>
      <w:r w:rsidRPr="00D91656">
        <w:rPr>
          <w:rStyle w:val="a4"/>
          <w:rFonts w:hint="cs"/>
          <w:rtl/>
        </w:rPr>
        <w:t>ירח</w:t>
      </w:r>
      <w:r w:rsidRPr="000C5E55">
        <w:rPr>
          <w:rFonts w:hint="cs"/>
          <w:rtl/>
        </w:rPr>
        <w:t xml:space="preserve">, ריצה מלאת התלהבות מתוך הכרה במעלת </w:t>
      </w:r>
      <w:proofErr w:type="spellStart"/>
      <w:r w:rsidRPr="000C5E55">
        <w:rPr>
          <w:rFonts w:hint="cs"/>
          <w:rtl/>
        </w:rPr>
        <w:t>האשה</w:t>
      </w:r>
      <w:proofErr w:type="spellEnd"/>
      <w:r w:rsidRPr="000C5E55">
        <w:rPr>
          <w:rFonts w:hint="cs"/>
          <w:rtl/>
        </w:rPr>
        <w:t>-המלכות (בבחינת "מגדל עז שם הוי' בו ירוץ צדיק ונשגב"</w:t>
      </w:r>
      <w:r w:rsidRPr="008636EE">
        <w:rPr>
          <w:rStyle w:val="a3"/>
          <w:rtl/>
        </w:rPr>
        <w:endnoteReference w:id="20"/>
      </w:r>
      <w:r w:rsidRPr="000C5E55">
        <w:rPr>
          <w:rFonts w:hint="cs"/>
          <w:rtl/>
        </w:rPr>
        <w:t xml:space="preserve">), ובכך </w:t>
      </w:r>
      <w:proofErr w:type="spellStart"/>
      <w:r w:rsidRPr="000C5E55">
        <w:rPr>
          <w:rFonts w:hint="cs"/>
          <w:rtl/>
        </w:rPr>
        <w:t>ששרשה</w:t>
      </w:r>
      <w:proofErr w:type="spellEnd"/>
      <w:r w:rsidRPr="000C5E55">
        <w:rPr>
          <w:rFonts w:hint="cs"/>
          <w:rtl/>
        </w:rPr>
        <w:t xml:space="preserve"> העליון הוא ב"רישא דלא ידע ולא </w:t>
      </w:r>
      <w:proofErr w:type="spellStart"/>
      <w:r w:rsidRPr="000C5E55">
        <w:rPr>
          <w:rFonts w:hint="cs"/>
          <w:rtl/>
        </w:rPr>
        <w:t>אתידע</w:t>
      </w:r>
      <w:proofErr w:type="spellEnd"/>
      <w:r w:rsidRPr="000C5E55">
        <w:rPr>
          <w:rFonts w:hint="cs"/>
          <w:rtl/>
        </w:rPr>
        <w:t>"</w:t>
      </w:r>
      <w:r w:rsidRPr="008636EE">
        <w:rPr>
          <w:rStyle w:val="a3"/>
          <w:rtl/>
        </w:rPr>
        <w:endnoteReference w:id="21"/>
      </w:r>
      <w:r w:rsidRPr="000C5E55">
        <w:rPr>
          <w:rFonts w:hint="cs"/>
          <w:rtl/>
        </w:rPr>
        <w:t xml:space="preserve"> (שעל כן בירח נאמר "עשה ירח למועדים"</w:t>
      </w:r>
      <w:r w:rsidRPr="008636EE">
        <w:rPr>
          <w:rStyle w:val="a3"/>
          <w:rtl/>
        </w:rPr>
        <w:endnoteReference w:id="22"/>
      </w:r>
      <w:r w:rsidRPr="000C5E55">
        <w:rPr>
          <w:rFonts w:hint="cs"/>
          <w:rtl/>
        </w:rPr>
        <w:t xml:space="preserve"> בלתי צפויים</w:t>
      </w:r>
      <w:r w:rsidRPr="008636EE">
        <w:rPr>
          <w:rStyle w:val="a3"/>
          <w:rtl/>
        </w:rPr>
        <w:endnoteReference w:id="23"/>
      </w:r>
      <w:r w:rsidRPr="000C5E55">
        <w:rPr>
          <w:rFonts w:hint="cs"/>
          <w:rtl/>
        </w:rPr>
        <w:t xml:space="preserve">, בניגוד ל"שמש ידע מבואו", והיינו סוד </w:t>
      </w:r>
      <w:proofErr w:type="spellStart"/>
      <w:r w:rsidRPr="000C5E55">
        <w:rPr>
          <w:rFonts w:hint="cs"/>
          <w:rtl/>
        </w:rPr>
        <w:t>האשה</w:t>
      </w:r>
      <w:proofErr w:type="spellEnd"/>
      <w:r w:rsidRPr="000C5E55">
        <w:rPr>
          <w:rFonts w:hint="cs"/>
          <w:rtl/>
        </w:rPr>
        <w:t xml:space="preserve"> הבלתי צפויה בסדרי </w:t>
      </w:r>
      <w:proofErr w:type="spellStart"/>
      <w:r w:rsidRPr="000C5E55">
        <w:rPr>
          <w:rFonts w:hint="cs"/>
          <w:rtl/>
        </w:rPr>
        <w:t>ה"</w:t>
      </w:r>
      <w:r w:rsidRPr="00D91656">
        <w:rPr>
          <w:rStyle w:val="a4"/>
          <w:rFonts w:hint="cs"/>
          <w:rtl/>
        </w:rPr>
        <w:t>א</w:t>
      </w:r>
      <w:r w:rsidRPr="00D91656">
        <w:rPr>
          <w:rStyle w:val="a4"/>
          <w:rFonts w:hint="eastAsia"/>
          <w:rtl/>
        </w:rPr>
        <w:t>ֹ</w:t>
      </w:r>
      <w:r w:rsidRPr="00D91656">
        <w:rPr>
          <w:rStyle w:val="a4"/>
          <w:rFonts w:hint="cs"/>
          <w:rtl/>
        </w:rPr>
        <w:t>רח</w:t>
      </w:r>
      <w:proofErr w:type="spellEnd"/>
      <w:r w:rsidRPr="000C5E55">
        <w:rPr>
          <w:rFonts w:hint="cs"/>
          <w:rtl/>
        </w:rPr>
        <w:t xml:space="preserve"> כנשים"</w:t>
      </w:r>
      <w:r w:rsidRPr="008636EE">
        <w:rPr>
          <w:rStyle w:val="a3"/>
          <w:rtl/>
        </w:rPr>
        <w:endnoteReference w:id="24"/>
      </w:r>
      <w:r w:rsidRPr="000C5E55">
        <w:rPr>
          <w:rFonts w:hint="cs"/>
          <w:rtl/>
        </w:rPr>
        <w:t xml:space="preserve"> בגופה ובנפשה, אליהם צריך להסכין האיש הנוטה לסדר וקביעות).</w:t>
      </w:r>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1D4" w:rsidRDefault="00F041D4" w:rsidP="00CF432D">
      <w:pPr>
        <w:spacing w:after="0" w:line="240" w:lineRule="auto"/>
      </w:pPr>
      <w:r>
        <w:separator/>
      </w:r>
    </w:p>
  </w:endnote>
  <w:endnote w:type="continuationSeparator" w:id="0">
    <w:p w:rsidR="00F041D4" w:rsidRDefault="00F041D4" w:rsidP="00CF432D">
      <w:pPr>
        <w:spacing w:after="0" w:line="240" w:lineRule="auto"/>
      </w:pPr>
      <w:r>
        <w:continuationSeparator/>
      </w:r>
    </w:p>
  </w:endnote>
  <w:endnote w:id="1">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ראה </w:t>
      </w:r>
      <w:proofErr w:type="spellStart"/>
      <w:r>
        <w:rPr>
          <w:rFonts w:hint="cs"/>
          <w:rtl/>
        </w:rPr>
        <w:t>הנסמן</w:t>
      </w:r>
      <w:proofErr w:type="spellEnd"/>
      <w:r>
        <w:rPr>
          <w:rFonts w:hint="cs"/>
          <w:rtl/>
        </w:rPr>
        <w:t xml:space="preserve"> לעיל </w:t>
      </w:r>
      <w:proofErr w:type="spellStart"/>
      <w:r>
        <w:rPr>
          <w:rFonts w:hint="cs"/>
          <w:rtl/>
        </w:rPr>
        <w:t>בתחלת</w:t>
      </w:r>
      <w:proofErr w:type="spellEnd"/>
      <w:r>
        <w:rPr>
          <w:rFonts w:hint="cs"/>
          <w:rtl/>
        </w:rPr>
        <w:t xml:space="preserve"> התורה "לשמור על הירח מלא" (ובשאר התורות בשער זה).</w:t>
      </w:r>
    </w:p>
  </w:endnote>
  <w:endnote w:id="2">
    <w:p w:rsidR="00CF432D" w:rsidRDefault="00CF432D" w:rsidP="00CF432D">
      <w:pPr>
        <w:pStyle w:val="a5"/>
        <w:rPr>
          <w:rFonts w:hint="cs"/>
        </w:rPr>
      </w:pPr>
      <w:r>
        <w:rPr>
          <w:rtl/>
        </w:rPr>
        <w:tab/>
      </w:r>
      <w:r w:rsidRPr="00944A81">
        <w:rPr>
          <w:rtl/>
        </w:rPr>
        <w:endnoteRef/>
      </w:r>
      <w:r>
        <w:rPr>
          <w:rtl/>
        </w:rPr>
        <w:t>.</w:t>
      </w:r>
      <w:r>
        <w:rPr>
          <w:rtl/>
        </w:rPr>
        <w:tab/>
      </w:r>
      <w:r>
        <w:rPr>
          <w:rFonts w:hint="cs"/>
          <w:rtl/>
        </w:rPr>
        <w:t>חבקוק ג, יא.</w:t>
      </w:r>
    </w:p>
  </w:endnote>
  <w:endnote w:id="3">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תהלים קד, </w:t>
      </w:r>
      <w:proofErr w:type="spellStart"/>
      <w:r>
        <w:rPr>
          <w:rFonts w:hint="cs"/>
          <w:rtl/>
        </w:rPr>
        <w:t>יט</w:t>
      </w:r>
      <w:proofErr w:type="spellEnd"/>
      <w:r>
        <w:rPr>
          <w:rFonts w:hint="cs"/>
          <w:rtl/>
        </w:rPr>
        <w:t>.</w:t>
      </w:r>
    </w:p>
  </w:endnote>
  <w:endnote w:id="4">
    <w:p w:rsidR="00CF432D" w:rsidRDefault="00CF432D" w:rsidP="00CF432D">
      <w:pPr>
        <w:pStyle w:val="a5"/>
        <w:rPr>
          <w:rFonts w:hint="cs"/>
        </w:rPr>
      </w:pPr>
      <w:r>
        <w:rPr>
          <w:rtl/>
        </w:rPr>
        <w:tab/>
      </w:r>
      <w:r w:rsidRPr="00944A81">
        <w:rPr>
          <w:rtl/>
        </w:rPr>
        <w:endnoteRef/>
      </w:r>
      <w:r>
        <w:rPr>
          <w:rtl/>
        </w:rPr>
        <w:t>.</w:t>
      </w:r>
      <w:r>
        <w:rPr>
          <w:rtl/>
        </w:rPr>
        <w:tab/>
      </w:r>
      <w:r>
        <w:rPr>
          <w:rFonts w:hint="cs"/>
          <w:rtl/>
        </w:rPr>
        <w:t xml:space="preserve">יהושע י, </w:t>
      </w:r>
      <w:proofErr w:type="spellStart"/>
      <w:r>
        <w:rPr>
          <w:rFonts w:hint="cs"/>
          <w:rtl/>
        </w:rPr>
        <w:t>יב</w:t>
      </w:r>
      <w:proofErr w:type="spellEnd"/>
      <w:r>
        <w:rPr>
          <w:rFonts w:hint="cs"/>
          <w:rtl/>
        </w:rPr>
        <w:t>.</w:t>
      </w:r>
    </w:p>
  </w:endnote>
  <w:endnote w:id="5">
    <w:p w:rsidR="00CF432D" w:rsidRDefault="00CF432D" w:rsidP="00CF432D">
      <w:pPr>
        <w:pStyle w:val="a5"/>
        <w:rPr>
          <w:rFonts w:hint="cs"/>
          <w:rtl/>
        </w:rPr>
      </w:pPr>
      <w:r>
        <w:rPr>
          <w:rtl/>
        </w:rPr>
        <w:tab/>
      </w:r>
      <w:r w:rsidRPr="00944A81">
        <w:rPr>
          <w:rtl/>
        </w:rPr>
        <w:endnoteRef/>
      </w:r>
      <w:r>
        <w:rPr>
          <w:rtl/>
        </w:rPr>
        <w:t>.</w:t>
      </w:r>
      <w:r>
        <w:rPr>
          <w:rtl/>
        </w:rPr>
        <w:tab/>
      </w:r>
      <w:proofErr w:type="spellStart"/>
      <w:r>
        <w:rPr>
          <w:rtl/>
        </w:rPr>
        <w:t>יל"ש</w:t>
      </w:r>
      <w:proofErr w:type="spellEnd"/>
      <w:r>
        <w:rPr>
          <w:rtl/>
        </w:rPr>
        <w:t xml:space="preserve"> יהושע רמז </w:t>
      </w:r>
      <w:proofErr w:type="spellStart"/>
      <w:r>
        <w:rPr>
          <w:rtl/>
        </w:rPr>
        <w:t>כב</w:t>
      </w:r>
      <w:proofErr w:type="spellEnd"/>
      <w:r>
        <w:rPr>
          <w:rtl/>
        </w:rPr>
        <w:t xml:space="preserve">, וראה </w:t>
      </w:r>
      <w:proofErr w:type="spellStart"/>
      <w:r>
        <w:rPr>
          <w:rtl/>
        </w:rPr>
        <w:t>תנחומא</w:t>
      </w:r>
      <w:proofErr w:type="spellEnd"/>
      <w:r>
        <w:rPr>
          <w:rtl/>
        </w:rPr>
        <w:t xml:space="preserve"> אחרי מות יד (הובא ונתבאר</w:t>
      </w:r>
      <w:r>
        <w:rPr>
          <w:rFonts w:hint="cs"/>
          <w:rtl/>
        </w:rPr>
        <w:t xml:space="preserve"> </w:t>
      </w:r>
      <w:r>
        <w:rPr>
          <w:rtl/>
        </w:rPr>
        <w:t>במאמר "הקדמה לפרק שירה" בספר אדמה שמים ותהום).</w:t>
      </w:r>
      <w:r>
        <w:rPr>
          <w:rFonts w:hint="cs"/>
          <w:rtl/>
        </w:rPr>
        <w:t xml:space="preserve"> ראה גם קומי אורי במאמר "</w:t>
      </w:r>
      <w:proofErr w:type="spellStart"/>
      <w:r>
        <w:rPr>
          <w:rFonts w:hint="cs"/>
          <w:rtl/>
        </w:rPr>
        <w:t>כחה</w:t>
      </w:r>
      <w:proofErr w:type="spellEnd"/>
      <w:r>
        <w:rPr>
          <w:rFonts w:hint="cs"/>
          <w:rtl/>
        </w:rPr>
        <w:t xml:space="preserve"> של הדממה" (עמ' קיד ואילך).</w:t>
      </w:r>
    </w:p>
  </w:endnote>
  <w:endnote w:id="6">
    <w:p w:rsidR="00CF432D" w:rsidRDefault="00CF432D" w:rsidP="00CF432D">
      <w:pPr>
        <w:pStyle w:val="a5"/>
        <w:rPr>
          <w:rFonts w:hint="cs"/>
          <w:rtl/>
        </w:rPr>
      </w:pPr>
      <w:r>
        <w:rPr>
          <w:rtl/>
        </w:rPr>
        <w:tab/>
      </w:r>
      <w:r w:rsidRPr="00944A81">
        <w:rPr>
          <w:rtl/>
        </w:rPr>
        <w:endnoteRef/>
      </w:r>
      <w:r>
        <w:rPr>
          <w:rtl/>
        </w:rPr>
        <w:t>.</w:t>
      </w:r>
      <w:r>
        <w:rPr>
          <w:rtl/>
        </w:rPr>
        <w:tab/>
      </w:r>
      <w:r>
        <w:rPr>
          <w:rFonts w:hint="cs"/>
          <w:rtl/>
        </w:rPr>
        <w:t>כנ"ל בתורות הקודמות.</w:t>
      </w:r>
    </w:p>
  </w:endnote>
  <w:endnote w:id="7">
    <w:p w:rsidR="00CF432D" w:rsidRDefault="00CF432D" w:rsidP="00CF432D">
      <w:pPr>
        <w:pStyle w:val="a5"/>
        <w:rPr>
          <w:rFonts w:hint="cs"/>
        </w:rPr>
      </w:pPr>
      <w:r>
        <w:rPr>
          <w:rtl/>
        </w:rPr>
        <w:tab/>
      </w:r>
      <w:r w:rsidRPr="00944A81">
        <w:rPr>
          <w:rtl/>
        </w:rPr>
        <w:endnoteRef/>
      </w:r>
      <w:r>
        <w:rPr>
          <w:rtl/>
        </w:rPr>
        <w:t>.</w:t>
      </w:r>
      <w:r>
        <w:rPr>
          <w:rtl/>
        </w:rPr>
        <w:tab/>
      </w:r>
      <w:r>
        <w:rPr>
          <w:rFonts w:hint="cs"/>
          <w:rtl/>
        </w:rPr>
        <w:t xml:space="preserve">וראה במכתב רבי לוי-יצחק שניאורסון לבנו, הרבי </w:t>
      </w:r>
      <w:proofErr w:type="spellStart"/>
      <w:r>
        <w:rPr>
          <w:rFonts w:hint="cs"/>
          <w:rtl/>
        </w:rPr>
        <w:t>מליובאוויטש</w:t>
      </w:r>
      <w:proofErr w:type="spellEnd"/>
      <w:r>
        <w:rPr>
          <w:rFonts w:hint="cs"/>
          <w:rtl/>
        </w:rPr>
        <w:t xml:space="preserve">, כהכנה לנישואיו: "בעמדך תחת החופה כל העת תחשוב ביראת שמים (כן אמר לי </w:t>
      </w:r>
      <w:proofErr w:type="spellStart"/>
      <w:r>
        <w:rPr>
          <w:rFonts w:hint="cs"/>
          <w:rtl/>
        </w:rPr>
        <w:t>להנישואין</w:t>
      </w:r>
      <w:proofErr w:type="spellEnd"/>
      <w:r>
        <w:rPr>
          <w:rFonts w:hint="cs"/>
          <w:rtl/>
        </w:rPr>
        <w:t xml:space="preserve"> שלי אדמו"ר ז"ל </w:t>
      </w:r>
      <w:proofErr w:type="spellStart"/>
      <w:r>
        <w:rPr>
          <w:rFonts w:hint="cs"/>
          <w:rtl/>
        </w:rPr>
        <w:t>נבג"מ</w:t>
      </w:r>
      <w:proofErr w:type="spellEnd"/>
      <w:r>
        <w:rPr>
          <w:rFonts w:hint="cs"/>
          <w:rtl/>
        </w:rPr>
        <w:t xml:space="preserve"> זי"ע)" (</w:t>
      </w:r>
      <w:proofErr w:type="spellStart"/>
      <w:r>
        <w:rPr>
          <w:rFonts w:hint="cs"/>
          <w:rtl/>
        </w:rPr>
        <w:t>לקוטי</w:t>
      </w:r>
      <w:proofErr w:type="spellEnd"/>
      <w:r>
        <w:rPr>
          <w:rFonts w:hint="cs"/>
          <w:rtl/>
        </w:rPr>
        <w:t xml:space="preserve"> לוי יצחק עמ' רז).</w:t>
      </w:r>
    </w:p>
  </w:endnote>
  <w:endnote w:id="8">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ילקוט שמעוני שמות רמז </w:t>
      </w:r>
      <w:proofErr w:type="spellStart"/>
      <w:r>
        <w:rPr>
          <w:rFonts w:hint="cs"/>
          <w:rtl/>
        </w:rPr>
        <w:t>רמב</w:t>
      </w:r>
      <w:proofErr w:type="spellEnd"/>
      <w:r>
        <w:rPr>
          <w:rFonts w:hint="cs"/>
          <w:rtl/>
        </w:rPr>
        <w:t>.</w:t>
      </w:r>
    </w:p>
  </w:endnote>
  <w:endnote w:id="9">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ראה בספר אדמה שמים ותהום בהערה מט למאמר "הקדמה לפרק שירה" (עמ' </w:t>
      </w:r>
      <w:proofErr w:type="spellStart"/>
      <w:r>
        <w:rPr>
          <w:rFonts w:hint="cs"/>
          <w:rtl/>
        </w:rPr>
        <w:t>רמט</w:t>
      </w:r>
      <w:proofErr w:type="spellEnd"/>
      <w:r>
        <w:rPr>
          <w:rFonts w:hint="cs"/>
          <w:rtl/>
        </w:rPr>
        <w:t>).</w:t>
      </w:r>
    </w:p>
  </w:endnote>
  <w:endnote w:id="10">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תהלים פט, ג (וראה בשער א בתורה "איש לרעהו ומתנות לאביונים </w:t>
      </w:r>
      <w:r>
        <w:rPr>
          <w:rtl/>
        </w:rPr>
        <w:t>–</w:t>
      </w:r>
      <w:r>
        <w:rPr>
          <w:rFonts w:hint="cs"/>
          <w:rtl/>
        </w:rPr>
        <w:t xml:space="preserve"> זרימת הנתינה").</w:t>
      </w:r>
    </w:p>
  </w:endnote>
  <w:endnote w:id="11">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יהושע י, </w:t>
      </w:r>
      <w:proofErr w:type="spellStart"/>
      <w:r>
        <w:rPr>
          <w:rFonts w:hint="cs"/>
          <w:rtl/>
        </w:rPr>
        <w:t>יג</w:t>
      </w:r>
      <w:proofErr w:type="spellEnd"/>
      <w:r>
        <w:rPr>
          <w:rFonts w:hint="cs"/>
          <w:rtl/>
        </w:rPr>
        <w:t xml:space="preserve">. </w:t>
      </w:r>
    </w:p>
  </w:endnote>
  <w:endnote w:id="12">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xml:space="preserve">, א. (וראה גם בתורה הקודמת ובשער ג בתורה "יונתי </w:t>
      </w:r>
      <w:proofErr w:type="spellStart"/>
      <w:r>
        <w:rPr>
          <w:rFonts w:hint="cs"/>
          <w:rtl/>
        </w:rPr>
        <w:t>בחגוי</w:t>
      </w:r>
      <w:proofErr w:type="spellEnd"/>
      <w:r>
        <w:rPr>
          <w:rFonts w:hint="cs"/>
          <w:rtl/>
        </w:rPr>
        <w:t xml:space="preserve"> הסלע").</w:t>
      </w:r>
    </w:p>
  </w:endnote>
  <w:endnote w:id="13">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ראה גם שער ג בתורה "יונתי </w:t>
      </w:r>
      <w:proofErr w:type="spellStart"/>
      <w:r>
        <w:rPr>
          <w:rFonts w:hint="cs"/>
          <w:rtl/>
        </w:rPr>
        <w:t>בחגוי</w:t>
      </w:r>
      <w:proofErr w:type="spellEnd"/>
      <w:r>
        <w:rPr>
          <w:rFonts w:hint="cs"/>
          <w:rtl/>
        </w:rPr>
        <w:t xml:space="preserve"> הסלע".</w:t>
      </w:r>
    </w:p>
  </w:endnote>
  <w:endnote w:id="14">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עפ"י זהר </w:t>
      </w:r>
      <w:proofErr w:type="spellStart"/>
      <w:r>
        <w:rPr>
          <w:rFonts w:hint="cs"/>
          <w:rtl/>
        </w:rPr>
        <w:t>ח"ג</w:t>
      </w:r>
      <w:proofErr w:type="spellEnd"/>
      <w:r>
        <w:rPr>
          <w:rFonts w:hint="cs"/>
          <w:rtl/>
        </w:rPr>
        <w:t xml:space="preserve"> לג, ב. וראה ראשית חכמה שער הקדושה פרקים טו-</w:t>
      </w:r>
      <w:proofErr w:type="spellStart"/>
      <w:r>
        <w:rPr>
          <w:rFonts w:hint="cs"/>
          <w:rtl/>
        </w:rPr>
        <w:t>יז</w:t>
      </w:r>
      <w:proofErr w:type="spellEnd"/>
      <w:r>
        <w:rPr>
          <w:rFonts w:hint="cs"/>
          <w:rtl/>
        </w:rPr>
        <w:t xml:space="preserve"> (אותם נוהגים ללמוד חתנים לפני חתונתם).</w:t>
      </w:r>
    </w:p>
  </w:endnote>
  <w:endnote w:id="15">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כתר שם טוב (הוצאת </w:t>
      </w:r>
      <w:proofErr w:type="spellStart"/>
      <w:r>
        <w:rPr>
          <w:rFonts w:hint="cs"/>
          <w:rtl/>
        </w:rPr>
        <w:t>קה"ת</w:t>
      </w:r>
      <w:proofErr w:type="spellEnd"/>
      <w:r>
        <w:rPr>
          <w:rFonts w:hint="cs"/>
          <w:rtl/>
        </w:rPr>
        <w:t xml:space="preserve">) </w:t>
      </w:r>
      <w:proofErr w:type="spellStart"/>
      <w:r>
        <w:rPr>
          <w:rFonts w:hint="cs"/>
          <w:rtl/>
        </w:rPr>
        <w:t>כח</w:t>
      </w:r>
      <w:proofErr w:type="spellEnd"/>
      <w:r>
        <w:rPr>
          <w:rFonts w:hint="cs"/>
          <w:rtl/>
        </w:rPr>
        <w:t>.</w:t>
      </w:r>
    </w:p>
  </w:endnote>
  <w:endnote w:id="16">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תניא </w:t>
      </w:r>
      <w:proofErr w:type="spellStart"/>
      <w:r>
        <w:rPr>
          <w:rFonts w:hint="cs"/>
          <w:rtl/>
        </w:rPr>
        <w:t>פכ"ח</w:t>
      </w:r>
      <w:proofErr w:type="spellEnd"/>
      <w:r>
        <w:rPr>
          <w:rFonts w:hint="cs"/>
          <w:rtl/>
        </w:rPr>
        <w:t>.</w:t>
      </w:r>
    </w:p>
  </w:endnote>
  <w:endnote w:id="17">
    <w:p w:rsidR="00CF432D" w:rsidRDefault="00CF432D" w:rsidP="00CF432D">
      <w:pPr>
        <w:pStyle w:val="a5"/>
        <w:rPr>
          <w:rFonts w:hint="cs"/>
        </w:rPr>
      </w:pPr>
      <w:r>
        <w:rPr>
          <w:rtl/>
        </w:rPr>
        <w:tab/>
      </w:r>
      <w:r w:rsidRPr="00944A81">
        <w:rPr>
          <w:rtl/>
        </w:rPr>
        <w:endnoteRef/>
      </w:r>
      <w:r>
        <w:rPr>
          <w:rtl/>
        </w:rPr>
        <w:t>.</w:t>
      </w:r>
      <w:r>
        <w:rPr>
          <w:rtl/>
        </w:rPr>
        <w:tab/>
      </w:r>
      <w:r>
        <w:rPr>
          <w:rFonts w:hint="cs"/>
          <w:rtl/>
        </w:rPr>
        <w:t>וראה גם בשער ב בתורה "כתיבה וחתימה טובה".</w:t>
      </w:r>
    </w:p>
  </w:endnote>
  <w:endnote w:id="18">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תענית לא, א. וראה לוח היום יום לחמשה עשר באב </w:t>
      </w:r>
      <w:r>
        <w:rPr>
          <w:rtl/>
        </w:rPr>
        <w:t>–</w:t>
      </w:r>
      <w:r>
        <w:rPr>
          <w:rFonts w:hint="cs"/>
          <w:rtl/>
        </w:rPr>
        <w:t xml:space="preserve"> שם נוספה המלה בישא ע"פ זהר </w:t>
      </w:r>
      <w:proofErr w:type="spellStart"/>
      <w:r>
        <w:rPr>
          <w:rFonts w:hint="cs"/>
          <w:rtl/>
        </w:rPr>
        <w:t>ח"ג</w:t>
      </w:r>
      <w:proofErr w:type="spellEnd"/>
      <w:r>
        <w:rPr>
          <w:rFonts w:hint="cs"/>
          <w:rtl/>
        </w:rPr>
        <w:t xml:space="preserve"> רפא, ב (ברע"מ שם) ובכ"ד.</w:t>
      </w:r>
    </w:p>
  </w:endnote>
  <w:endnote w:id="19">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תהלים </w:t>
      </w:r>
      <w:proofErr w:type="spellStart"/>
      <w:r>
        <w:rPr>
          <w:rFonts w:hint="cs"/>
          <w:rtl/>
        </w:rPr>
        <w:t>יט</w:t>
      </w:r>
      <w:proofErr w:type="spellEnd"/>
      <w:r>
        <w:rPr>
          <w:rFonts w:hint="cs"/>
          <w:rtl/>
        </w:rPr>
        <w:t xml:space="preserve">, ו (וראה עוד שער ב בתורה "בן שמונה עשרה לחופה" על אמירת </w:t>
      </w:r>
      <w:proofErr w:type="spellStart"/>
      <w:r>
        <w:rPr>
          <w:rFonts w:hint="cs"/>
          <w:rtl/>
        </w:rPr>
        <w:t>פי"ט</w:t>
      </w:r>
      <w:proofErr w:type="spellEnd"/>
      <w:r>
        <w:rPr>
          <w:rFonts w:hint="cs"/>
          <w:rtl/>
        </w:rPr>
        <w:t xml:space="preserve"> בתהלים ביום החופה).</w:t>
      </w:r>
    </w:p>
  </w:endnote>
  <w:endnote w:id="20">
    <w:p w:rsidR="00CF432D" w:rsidRDefault="00CF432D" w:rsidP="00CF432D">
      <w:pPr>
        <w:pStyle w:val="a5"/>
        <w:rPr>
          <w:rFonts w:hint="cs"/>
        </w:rPr>
      </w:pPr>
      <w:r>
        <w:rPr>
          <w:rtl/>
        </w:rPr>
        <w:tab/>
      </w:r>
      <w:r w:rsidRPr="00944A81">
        <w:rPr>
          <w:rtl/>
        </w:rPr>
        <w:endnoteRef/>
      </w:r>
      <w:r>
        <w:rPr>
          <w:rtl/>
        </w:rPr>
        <w:t>.</w:t>
      </w:r>
      <w:r>
        <w:rPr>
          <w:rtl/>
        </w:rPr>
        <w:tab/>
      </w:r>
      <w:r>
        <w:rPr>
          <w:rFonts w:hint="cs"/>
          <w:rtl/>
        </w:rPr>
        <w:t xml:space="preserve">משלי </w:t>
      </w:r>
      <w:proofErr w:type="spellStart"/>
      <w:r>
        <w:rPr>
          <w:rFonts w:hint="cs"/>
          <w:rtl/>
        </w:rPr>
        <w:t>יח</w:t>
      </w:r>
      <w:proofErr w:type="spellEnd"/>
      <w:r>
        <w:rPr>
          <w:rFonts w:hint="cs"/>
          <w:rtl/>
        </w:rPr>
        <w:t xml:space="preserve">, י. ונתבאר הפסוק באופן זה בכ"ד </w:t>
      </w:r>
      <w:proofErr w:type="spellStart"/>
      <w:r>
        <w:rPr>
          <w:rFonts w:hint="cs"/>
          <w:rtl/>
        </w:rPr>
        <w:t>בדא"ח</w:t>
      </w:r>
      <w:proofErr w:type="spellEnd"/>
      <w:r>
        <w:rPr>
          <w:rFonts w:hint="cs"/>
          <w:rtl/>
        </w:rPr>
        <w:t xml:space="preserve">, ראה לדוגמה ד"ה בהעלותך </w:t>
      </w:r>
      <w:proofErr w:type="spellStart"/>
      <w:r>
        <w:rPr>
          <w:rFonts w:hint="cs"/>
          <w:rtl/>
        </w:rPr>
        <w:t>העת"ר</w:t>
      </w:r>
      <w:proofErr w:type="spellEnd"/>
      <w:r>
        <w:rPr>
          <w:rFonts w:hint="cs"/>
          <w:rtl/>
        </w:rPr>
        <w:t xml:space="preserve"> (המשך בשעה שהקדימו </w:t>
      </w:r>
      <w:proofErr w:type="spellStart"/>
      <w:r>
        <w:rPr>
          <w:rFonts w:hint="cs"/>
          <w:rtl/>
        </w:rPr>
        <w:t>תער"ב</w:t>
      </w:r>
      <w:proofErr w:type="spellEnd"/>
      <w:r>
        <w:rPr>
          <w:rFonts w:hint="cs"/>
          <w:rtl/>
        </w:rPr>
        <w:t xml:space="preserve"> עמ' </w:t>
      </w:r>
      <w:proofErr w:type="spellStart"/>
      <w:r>
        <w:rPr>
          <w:rFonts w:hint="cs"/>
          <w:rtl/>
        </w:rPr>
        <w:t>א'כב</w:t>
      </w:r>
      <w:proofErr w:type="spellEnd"/>
      <w:r>
        <w:rPr>
          <w:rFonts w:hint="cs"/>
          <w:rtl/>
        </w:rPr>
        <w:t>).</w:t>
      </w:r>
    </w:p>
  </w:endnote>
  <w:endnote w:id="21">
    <w:p w:rsidR="00CF432D" w:rsidRDefault="00CF432D" w:rsidP="00CF432D">
      <w:pPr>
        <w:pStyle w:val="a5"/>
        <w:rPr>
          <w:rFonts w:hint="cs"/>
        </w:rPr>
      </w:pPr>
      <w:r>
        <w:rPr>
          <w:rtl/>
        </w:rPr>
        <w:tab/>
      </w:r>
      <w:r w:rsidRPr="00944A81">
        <w:rPr>
          <w:rtl/>
        </w:rPr>
        <w:endnoteRef/>
      </w:r>
      <w:r>
        <w:rPr>
          <w:rtl/>
        </w:rPr>
        <w:t>.</w:t>
      </w:r>
      <w:r>
        <w:rPr>
          <w:rtl/>
        </w:rPr>
        <w:tab/>
      </w:r>
      <w:r>
        <w:rPr>
          <w:rFonts w:hint="cs"/>
          <w:rtl/>
        </w:rPr>
        <w:t xml:space="preserve">ראה </w:t>
      </w:r>
      <w:r w:rsidRPr="006945C0">
        <w:rPr>
          <w:rtl/>
        </w:rPr>
        <w:t>עץ חיים שער יא פרק ח (</w:t>
      </w:r>
      <w:proofErr w:type="spellStart"/>
      <w:r w:rsidRPr="006945C0">
        <w:rPr>
          <w:rtl/>
        </w:rPr>
        <w:t>מ"ת</w:t>
      </w:r>
      <w:proofErr w:type="spellEnd"/>
      <w:r w:rsidRPr="006945C0">
        <w:rPr>
          <w:rtl/>
        </w:rPr>
        <w:t>) ועוד.</w:t>
      </w:r>
    </w:p>
  </w:endnote>
  <w:endnote w:id="22">
    <w:p w:rsidR="00CF432D" w:rsidRDefault="00CF432D" w:rsidP="00CF432D">
      <w:pPr>
        <w:pStyle w:val="a5"/>
        <w:rPr>
          <w:rFonts w:hint="cs"/>
        </w:rPr>
      </w:pPr>
      <w:r>
        <w:rPr>
          <w:rtl/>
        </w:rPr>
        <w:tab/>
      </w:r>
      <w:r w:rsidRPr="00944A81">
        <w:rPr>
          <w:rtl/>
        </w:rPr>
        <w:endnoteRef/>
      </w:r>
      <w:r>
        <w:rPr>
          <w:rtl/>
        </w:rPr>
        <w:t>.</w:t>
      </w:r>
      <w:r>
        <w:rPr>
          <w:rtl/>
        </w:rPr>
        <w:tab/>
      </w:r>
      <w:r>
        <w:rPr>
          <w:rFonts w:hint="cs"/>
          <w:rtl/>
        </w:rPr>
        <w:t xml:space="preserve">תהלים קד, </w:t>
      </w:r>
      <w:proofErr w:type="spellStart"/>
      <w:r>
        <w:rPr>
          <w:rFonts w:hint="cs"/>
          <w:rtl/>
        </w:rPr>
        <w:t>יט</w:t>
      </w:r>
      <w:proofErr w:type="spellEnd"/>
      <w:r>
        <w:rPr>
          <w:rFonts w:hint="cs"/>
          <w:rtl/>
        </w:rPr>
        <w:t>.</w:t>
      </w:r>
    </w:p>
  </w:endnote>
  <w:endnote w:id="23">
    <w:p w:rsidR="00CF432D" w:rsidRDefault="00CF432D" w:rsidP="00CF432D">
      <w:pPr>
        <w:pStyle w:val="a5"/>
        <w:rPr>
          <w:rFonts w:hint="cs"/>
        </w:rPr>
      </w:pPr>
      <w:r>
        <w:rPr>
          <w:rtl/>
        </w:rPr>
        <w:tab/>
      </w:r>
      <w:r w:rsidRPr="00944A81">
        <w:rPr>
          <w:rtl/>
        </w:rPr>
        <w:endnoteRef/>
      </w:r>
      <w:r>
        <w:rPr>
          <w:rtl/>
        </w:rPr>
        <w:t>.</w:t>
      </w:r>
      <w:r>
        <w:rPr>
          <w:rtl/>
        </w:rPr>
        <w:tab/>
      </w:r>
      <w:r>
        <w:rPr>
          <w:rFonts w:hint="cs"/>
          <w:rtl/>
        </w:rPr>
        <w:t>ר"ה כה, א.</w:t>
      </w:r>
    </w:p>
  </w:endnote>
  <w:endnote w:id="24">
    <w:p w:rsidR="00CF432D" w:rsidRDefault="00CF432D" w:rsidP="00CF432D">
      <w:pPr>
        <w:pStyle w:val="a5"/>
        <w:rPr>
          <w:rFonts w:hint="cs"/>
          <w:rtl/>
        </w:rPr>
      </w:pPr>
      <w:r>
        <w:rPr>
          <w:rtl/>
        </w:rPr>
        <w:tab/>
      </w:r>
      <w:r w:rsidRPr="00944A81">
        <w:rPr>
          <w:rtl/>
        </w:rPr>
        <w:endnoteRef/>
      </w:r>
      <w:r>
        <w:rPr>
          <w:rtl/>
        </w:rPr>
        <w:t>.</w:t>
      </w:r>
      <w:r>
        <w:rPr>
          <w:rtl/>
        </w:rPr>
        <w:tab/>
      </w:r>
      <w:r>
        <w:rPr>
          <w:rFonts w:hint="cs"/>
          <w:rtl/>
        </w:rPr>
        <w:t xml:space="preserve">בראשית </w:t>
      </w:r>
      <w:proofErr w:type="spellStart"/>
      <w:r>
        <w:rPr>
          <w:rFonts w:hint="cs"/>
          <w:rtl/>
        </w:rPr>
        <w:t>יח</w:t>
      </w:r>
      <w:proofErr w:type="spellEnd"/>
      <w:r>
        <w:rPr>
          <w:rFonts w:hint="cs"/>
          <w:rtl/>
        </w:rPr>
        <w:t>, יא.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1D4" w:rsidRDefault="00F041D4" w:rsidP="00CF432D">
      <w:pPr>
        <w:spacing w:after="0" w:line="240" w:lineRule="auto"/>
      </w:pPr>
      <w:r>
        <w:separator/>
      </w:r>
    </w:p>
  </w:footnote>
  <w:footnote w:type="continuationSeparator" w:id="0">
    <w:p w:rsidR="00F041D4" w:rsidRDefault="00F041D4" w:rsidP="00CF4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B1"/>
    <w:rsid w:val="00061E65"/>
    <w:rsid w:val="00AC2310"/>
    <w:rsid w:val="00BF5DB1"/>
    <w:rsid w:val="00CF432D"/>
    <w:rsid w:val="00F041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F432D"/>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CF432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F432D"/>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CF432D"/>
    <w:rPr>
      <w:noProof/>
      <w:position w:val="-4"/>
      <w:szCs w:val="26"/>
      <w:vertAlign w:val="superscript"/>
    </w:rPr>
  </w:style>
  <w:style w:type="character" w:customStyle="1" w:styleId="a4">
    <w:name w:val="מרים"/>
    <w:basedOn w:val="a0"/>
    <w:rsid w:val="00CF432D"/>
    <w:rPr>
      <w:rFonts w:cs="MiriamMFO"/>
      <w:w w:val="100"/>
      <w:sz w:val="21"/>
      <w:szCs w:val="23"/>
    </w:rPr>
  </w:style>
  <w:style w:type="paragraph" w:styleId="a5">
    <w:name w:val="endnote text"/>
    <w:aliases w:val="Endnote Text"/>
    <w:basedOn w:val="a"/>
    <w:link w:val="a6"/>
    <w:semiHidden/>
    <w:rsid w:val="00CF432D"/>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CF432D"/>
    <w:rPr>
      <w:rFonts w:ascii="Times New Roman" w:eastAsia="Times New Roman" w:hAnsi="Times New Roman" w:cs="oprFrank"/>
      <w:sz w:val="20"/>
      <w:szCs w:val="23"/>
      <w:lang w:eastAsia="he-IL"/>
    </w:rPr>
  </w:style>
  <w:style w:type="paragraph" w:customStyle="1" w:styleId="a7">
    <w:name w:val="פתיח תו"/>
    <w:basedOn w:val="a"/>
    <w:link w:val="a8"/>
    <w:rsid w:val="00CF432D"/>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CF432D"/>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F432D"/>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CF432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F432D"/>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CF432D"/>
    <w:rPr>
      <w:noProof/>
      <w:position w:val="-4"/>
      <w:szCs w:val="26"/>
      <w:vertAlign w:val="superscript"/>
    </w:rPr>
  </w:style>
  <w:style w:type="character" w:customStyle="1" w:styleId="a4">
    <w:name w:val="מרים"/>
    <w:basedOn w:val="a0"/>
    <w:rsid w:val="00CF432D"/>
    <w:rPr>
      <w:rFonts w:cs="MiriamMFO"/>
      <w:w w:val="100"/>
      <w:sz w:val="21"/>
      <w:szCs w:val="23"/>
    </w:rPr>
  </w:style>
  <w:style w:type="paragraph" w:styleId="a5">
    <w:name w:val="endnote text"/>
    <w:aliases w:val="Endnote Text"/>
    <w:basedOn w:val="a"/>
    <w:link w:val="a6"/>
    <w:semiHidden/>
    <w:rsid w:val="00CF432D"/>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CF432D"/>
    <w:rPr>
      <w:rFonts w:ascii="Times New Roman" w:eastAsia="Times New Roman" w:hAnsi="Times New Roman" w:cs="oprFrank"/>
      <w:sz w:val="20"/>
      <w:szCs w:val="23"/>
      <w:lang w:eastAsia="he-IL"/>
    </w:rPr>
  </w:style>
  <w:style w:type="paragraph" w:customStyle="1" w:styleId="a7">
    <w:name w:val="פתיח תו"/>
    <w:basedOn w:val="a"/>
    <w:link w:val="a8"/>
    <w:rsid w:val="00CF432D"/>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CF432D"/>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2572</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2017-08-16T09:56:00Z</dcterms:created>
  <dcterms:modified xsi:type="dcterms:W3CDTF">2017-08-16T09:56:00Z</dcterms:modified>
</cp:coreProperties>
</file>