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ACB" w:rsidRDefault="00191ACB" w:rsidP="00191ACB">
      <w:pPr>
        <w:pStyle w:val="2"/>
        <w:rPr>
          <w:rFonts w:hint="cs"/>
          <w:rtl/>
        </w:rPr>
      </w:pPr>
      <w:bookmarkStart w:id="0" w:name="_Toc302128606"/>
      <w:bookmarkStart w:id="1" w:name="_Ref302128974"/>
      <w:r>
        <w:rPr>
          <w:rFonts w:hint="cs"/>
          <w:rtl/>
        </w:rPr>
        <w:t xml:space="preserve">חתן דומה למלך </w:t>
      </w:r>
      <w:r>
        <w:rPr>
          <w:rtl/>
        </w:rPr>
        <w:br/>
      </w:r>
      <w:r>
        <w:rPr>
          <w:rFonts w:hint="cs"/>
          <w:rtl/>
        </w:rPr>
        <w:t>והכלה למלכה</w:t>
      </w:r>
      <w:bookmarkEnd w:id="0"/>
      <w:bookmarkEnd w:id="1"/>
    </w:p>
    <w:p w:rsidR="00191ACB" w:rsidRPr="002E2CC9" w:rsidRDefault="00191ACB" w:rsidP="00191ACB">
      <w:pPr>
        <w:keepNext/>
        <w:framePr w:dropCap="drop" w:lines="2" w:hSpace="57" w:wrap="around" w:vAnchor="text" w:hAnchor="text" w:xAlign="right"/>
        <w:spacing w:after="0" w:line="760" w:lineRule="exact"/>
        <w:textAlignment w:val="baseline"/>
        <w:rPr>
          <w:rStyle w:val="ab"/>
          <w:rtl/>
        </w:rPr>
      </w:pPr>
      <w:r w:rsidRPr="002E2CC9">
        <w:rPr>
          <w:rStyle w:val="ab"/>
          <w:rFonts w:hint="cs"/>
          <w:rtl/>
        </w:rPr>
        <w:t>י</w:t>
      </w:r>
    </w:p>
    <w:p w:rsidR="00191ACB" w:rsidRDefault="00191ACB" w:rsidP="00191ACB">
      <w:pPr>
        <w:rPr>
          <w:rFonts w:hint="cs"/>
          <w:rtl/>
        </w:rPr>
      </w:pPr>
      <w:r>
        <w:rPr>
          <w:rFonts w:hint="cs"/>
          <w:rtl/>
        </w:rPr>
        <w:t>דוע כי "חתן דומה למלך"</w:t>
      </w:r>
      <w:r w:rsidRPr="008636EE">
        <w:rPr>
          <w:rStyle w:val="a3"/>
          <w:rtl/>
        </w:rPr>
        <w:endnoteReference w:id="1"/>
      </w:r>
      <w:r>
        <w:rPr>
          <w:rFonts w:hint="cs"/>
          <w:rtl/>
        </w:rPr>
        <w:t xml:space="preserve"> והכלה נקראת מלכה</w:t>
      </w:r>
      <w:r w:rsidRPr="008636EE">
        <w:rPr>
          <w:rStyle w:val="a3"/>
          <w:rtl/>
        </w:rPr>
        <w:endnoteReference w:id="2"/>
      </w:r>
      <w:r>
        <w:rPr>
          <w:rFonts w:hint="cs"/>
          <w:rtl/>
        </w:rPr>
        <w:t xml:space="preserve">. הדימויים של מלך ומלכה שוזרים את כל קומות המציאות, דומם-צומח-חי-מדבר: בעולם המדברים הדימוי הוא כפשוטו, למלך ומלכה שבפיהם </w:t>
      </w:r>
      <w:proofErr w:type="spellStart"/>
      <w:r>
        <w:rPr>
          <w:rFonts w:hint="cs"/>
          <w:rtl/>
        </w:rPr>
        <w:t>כח</w:t>
      </w:r>
      <w:proofErr w:type="spellEnd"/>
      <w:r>
        <w:rPr>
          <w:rFonts w:hint="cs"/>
          <w:rtl/>
        </w:rPr>
        <w:t xml:space="preserve"> הנהגה </w:t>
      </w:r>
      <w:r>
        <w:rPr>
          <w:rtl/>
        </w:rPr>
        <w:t>–</w:t>
      </w:r>
      <w:r>
        <w:rPr>
          <w:rFonts w:hint="cs"/>
          <w:rtl/>
        </w:rPr>
        <w:t xml:space="preserve"> "באשר דבר מלך שלטון"</w:t>
      </w:r>
      <w:r w:rsidRPr="008636EE">
        <w:rPr>
          <w:rStyle w:val="a3"/>
          <w:rtl/>
        </w:rPr>
        <w:endnoteReference w:id="3"/>
      </w:r>
      <w:r>
        <w:rPr>
          <w:rFonts w:hint="cs"/>
          <w:rtl/>
        </w:rPr>
        <w:t>; בעולם החי החתן והכלה מתדמים לאריה מלך החיות</w:t>
      </w:r>
      <w:r w:rsidRPr="008636EE">
        <w:rPr>
          <w:rStyle w:val="a3"/>
          <w:rtl/>
        </w:rPr>
        <w:endnoteReference w:id="4"/>
      </w:r>
      <w:r>
        <w:rPr>
          <w:rFonts w:hint="cs"/>
          <w:rtl/>
        </w:rPr>
        <w:t xml:space="preserve"> ואשתו הלביאה; בעולם הצומח דומה החתן למלך העצים, התמר, והכלה לתמרה (עץ התמר הנקבי); ואילו בעולם הדומם הדימוי המלכותי ביותר של החתן והכלה הוא השמש והירח</w:t>
      </w:r>
      <w:r w:rsidRPr="008636EE">
        <w:rPr>
          <w:rStyle w:val="a3"/>
          <w:rtl/>
        </w:rPr>
        <w:endnoteReference w:id="5"/>
      </w:r>
      <w:r>
        <w:rPr>
          <w:rFonts w:hint="cs"/>
          <w:rtl/>
        </w:rPr>
        <w:t xml:space="preserve"> המושלים ביום ובלילה</w:t>
      </w:r>
      <w:r w:rsidRPr="008636EE">
        <w:rPr>
          <w:rStyle w:val="a3"/>
          <w:rtl/>
        </w:rPr>
        <w:endnoteReference w:id="6"/>
      </w:r>
      <w:r>
        <w:rPr>
          <w:rFonts w:hint="cs"/>
          <w:rtl/>
        </w:rPr>
        <w:t>. כל אחת מהקומות מבטאת ענין אחר בחיי הנישואין</w:t>
      </w:r>
      <w:r w:rsidRPr="008636EE">
        <w:rPr>
          <w:rStyle w:val="a3"/>
          <w:rtl/>
        </w:rPr>
        <w:endnoteReference w:id="7"/>
      </w:r>
      <w:r>
        <w:rPr>
          <w:rFonts w:hint="cs"/>
          <w:rtl/>
        </w:rPr>
        <w:t>:</w:t>
      </w:r>
    </w:p>
    <w:p w:rsidR="00191ACB" w:rsidRDefault="00191ACB" w:rsidP="00191ACB">
      <w:pPr>
        <w:rPr>
          <w:rFonts w:hint="cs"/>
          <w:rtl/>
        </w:rPr>
      </w:pPr>
      <w:r>
        <w:rPr>
          <w:rFonts w:hint="cs"/>
          <w:rtl/>
        </w:rPr>
        <w:t xml:space="preserve">המעבר מחיי רווקות לחיי נישואין הוא המעבר מעבודת </w:t>
      </w:r>
      <w:proofErr w:type="spellStart"/>
      <w:r>
        <w:rPr>
          <w:rFonts w:hint="cs"/>
          <w:rtl/>
        </w:rPr>
        <w:t>ה"אתכפיא</w:t>
      </w:r>
      <w:proofErr w:type="spellEnd"/>
      <w:r>
        <w:rPr>
          <w:rFonts w:hint="cs"/>
          <w:rtl/>
        </w:rPr>
        <w:t xml:space="preserve">" לעבודת </w:t>
      </w:r>
      <w:proofErr w:type="spellStart"/>
      <w:r>
        <w:rPr>
          <w:rFonts w:hint="cs"/>
          <w:rtl/>
        </w:rPr>
        <w:t>ה"אתהפכא</w:t>
      </w:r>
      <w:proofErr w:type="spellEnd"/>
      <w:r>
        <w:rPr>
          <w:rFonts w:hint="cs"/>
          <w:rtl/>
        </w:rPr>
        <w:t>"</w:t>
      </w:r>
      <w:bookmarkStart w:id="2" w:name="_Ref300288546"/>
      <w:r w:rsidRPr="008636EE">
        <w:rPr>
          <w:rStyle w:val="a3"/>
          <w:rtl/>
        </w:rPr>
        <w:endnoteReference w:id="8"/>
      </w:r>
      <w:bookmarkEnd w:id="2"/>
      <w:r>
        <w:rPr>
          <w:rFonts w:hint="cs"/>
          <w:rtl/>
        </w:rPr>
        <w:t xml:space="preserve">, כאשר עד הנישואין החתן והכלה פרושים יחסית מחיי העולם הזה בכלל ומעיסוק </w:t>
      </w:r>
      <w:proofErr w:type="spellStart"/>
      <w:r>
        <w:rPr>
          <w:rFonts w:hint="cs"/>
          <w:rtl/>
        </w:rPr>
        <w:t>ביצרא</w:t>
      </w:r>
      <w:proofErr w:type="spellEnd"/>
      <w:r>
        <w:rPr>
          <w:rFonts w:hint="cs"/>
          <w:rtl/>
        </w:rPr>
        <w:t xml:space="preserve"> </w:t>
      </w:r>
      <w:proofErr w:type="spellStart"/>
      <w:r>
        <w:rPr>
          <w:rFonts w:hint="cs"/>
          <w:rtl/>
        </w:rPr>
        <w:t>דעריות</w:t>
      </w:r>
      <w:proofErr w:type="spellEnd"/>
      <w:r>
        <w:rPr>
          <w:rFonts w:hint="cs"/>
          <w:rtl/>
        </w:rPr>
        <w:t xml:space="preserve"> בפרט, ואילו אחרי הנישואין עליהם </w:t>
      </w:r>
      <w:proofErr w:type="spellStart"/>
      <w:r>
        <w:rPr>
          <w:rFonts w:hint="cs"/>
          <w:rtl/>
        </w:rPr>
        <w:t>להכנס</w:t>
      </w:r>
      <w:proofErr w:type="spellEnd"/>
      <w:r>
        <w:rPr>
          <w:rFonts w:hint="cs"/>
          <w:rtl/>
        </w:rPr>
        <w:t xml:space="preserve"> לתוך מציאות העולם ולעשות בה "דירה בתחתונים"</w:t>
      </w:r>
      <w:r w:rsidRPr="008636EE">
        <w:rPr>
          <w:rStyle w:val="a3"/>
          <w:rtl/>
        </w:rPr>
        <w:endnoteReference w:id="9"/>
      </w:r>
      <w:r>
        <w:rPr>
          <w:rFonts w:hint="cs"/>
          <w:rtl/>
        </w:rPr>
        <w:t xml:space="preserve"> ל"שכינה ביניהן"</w:t>
      </w:r>
      <w:r w:rsidRPr="008636EE">
        <w:rPr>
          <w:rStyle w:val="a3"/>
          <w:rtl/>
        </w:rPr>
        <w:endnoteReference w:id="10"/>
      </w:r>
      <w:r>
        <w:rPr>
          <w:rFonts w:hint="cs"/>
          <w:rtl/>
        </w:rPr>
        <w:t xml:space="preserve">. בשתי המדרגות התחתונות, הדומם והצומח, מתחולל המעבר לעבודת </w:t>
      </w:r>
      <w:proofErr w:type="spellStart"/>
      <w:r>
        <w:rPr>
          <w:rFonts w:hint="cs"/>
          <w:rtl/>
        </w:rPr>
        <w:t>ה"אתהפכא</w:t>
      </w:r>
      <w:proofErr w:type="spellEnd"/>
      <w:r>
        <w:rPr>
          <w:rFonts w:hint="cs"/>
          <w:rtl/>
        </w:rPr>
        <w:t xml:space="preserve"> </w:t>
      </w:r>
      <w:proofErr w:type="spellStart"/>
      <w:r>
        <w:rPr>
          <w:rFonts w:hint="cs"/>
          <w:rtl/>
        </w:rPr>
        <w:t>חשוכא</w:t>
      </w:r>
      <w:proofErr w:type="spellEnd"/>
      <w:r>
        <w:rPr>
          <w:rFonts w:hint="cs"/>
          <w:rtl/>
        </w:rPr>
        <w:t xml:space="preserve"> </w:t>
      </w:r>
      <w:proofErr w:type="spellStart"/>
      <w:r>
        <w:rPr>
          <w:rFonts w:hint="cs"/>
          <w:rtl/>
        </w:rPr>
        <w:t>לנהורא</w:t>
      </w:r>
      <w:proofErr w:type="spellEnd"/>
      <w:r>
        <w:rPr>
          <w:rFonts w:hint="cs"/>
          <w:rtl/>
        </w:rPr>
        <w:t xml:space="preserve"> וטעמין מרירו </w:t>
      </w:r>
      <w:proofErr w:type="spellStart"/>
      <w:r>
        <w:rPr>
          <w:rFonts w:hint="cs"/>
          <w:rtl/>
        </w:rPr>
        <w:t>למיתקא</w:t>
      </w:r>
      <w:proofErr w:type="spellEnd"/>
      <w:r>
        <w:rPr>
          <w:rFonts w:hint="cs"/>
          <w:rtl/>
        </w:rPr>
        <w:t>"</w:t>
      </w:r>
      <w:r w:rsidRPr="008636EE">
        <w:rPr>
          <w:rStyle w:val="a3"/>
          <w:rtl/>
        </w:rPr>
        <w:endnoteReference w:id="11"/>
      </w:r>
      <w:r>
        <w:rPr>
          <w:rFonts w:hint="cs"/>
          <w:rtl/>
        </w:rPr>
        <w:t xml:space="preserve">: </w:t>
      </w:r>
    </w:p>
    <w:p w:rsidR="00191ACB" w:rsidRDefault="00191ACB" w:rsidP="00191ACB">
      <w:pPr>
        <w:rPr>
          <w:rFonts w:hint="cs"/>
          <w:rtl/>
        </w:rPr>
      </w:pPr>
      <w:r>
        <w:rPr>
          <w:rFonts w:hint="cs"/>
          <w:rtl/>
        </w:rPr>
        <w:t xml:space="preserve">השמש והירח מתפקדים בעולם הזה כמשפיע ומקבל שיש ביניהם פער ומרחק גדולים, אך בזכות הקשר ביניהם מאיר הירח בשעות הלילה ובכך הופך את החשך לאור </w:t>
      </w:r>
      <w:r>
        <w:rPr>
          <w:rtl/>
        </w:rPr>
        <w:t>–</w:t>
      </w:r>
      <w:r>
        <w:rPr>
          <w:rFonts w:hint="cs"/>
          <w:rtl/>
        </w:rPr>
        <w:t xml:space="preserve"> "</w:t>
      </w:r>
      <w:proofErr w:type="spellStart"/>
      <w:r>
        <w:rPr>
          <w:rFonts w:hint="cs"/>
          <w:rtl/>
        </w:rPr>
        <w:t>אתהפכא</w:t>
      </w:r>
      <w:proofErr w:type="spellEnd"/>
      <w:r>
        <w:rPr>
          <w:rFonts w:hint="cs"/>
          <w:rtl/>
        </w:rPr>
        <w:t xml:space="preserve"> </w:t>
      </w:r>
      <w:proofErr w:type="spellStart"/>
      <w:r>
        <w:rPr>
          <w:rFonts w:hint="cs"/>
          <w:rtl/>
        </w:rPr>
        <w:t>חשוכא</w:t>
      </w:r>
      <w:proofErr w:type="spellEnd"/>
      <w:r>
        <w:rPr>
          <w:rFonts w:hint="cs"/>
          <w:rtl/>
        </w:rPr>
        <w:t xml:space="preserve"> </w:t>
      </w:r>
      <w:proofErr w:type="spellStart"/>
      <w:r>
        <w:rPr>
          <w:rFonts w:hint="cs"/>
          <w:rtl/>
        </w:rPr>
        <w:t>לנהורא</w:t>
      </w:r>
      <w:proofErr w:type="spellEnd"/>
      <w:r>
        <w:rPr>
          <w:rFonts w:hint="cs"/>
          <w:rtl/>
        </w:rPr>
        <w:t>". בחיי הנישואין הפיכת החשך לאור היינו החדרת האור גם להתנהלות ה'דוממת' של בני הזוג, כאשר הזיקה החשוכה ביניהם מתורגמת למציאות גלויה. כל עיסוק והתגלגלות בחיי העולם הגשמי, שבחיי הרווקות היו חשוכים וחסרי טעם, נהפכים למשימה זוגית שיש בה אור וטעם מיוחדים.</w:t>
      </w:r>
    </w:p>
    <w:p w:rsidR="00191ACB" w:rsidRDefault="00191ACB" w:rsidP="00191ACB">
      <w:pPr>
        <w:rPr>
          <w:rFonts w:hint="cs"/>
          <w:rtl/>
        </w:rPr>
      </w:pPr>
      <w:r>
        <w:rPr>
          <w:rFonts w:hint="cs"/>
          <w:rtl/>
        </w:rPr>
        <w:lastRenderedPageBreak/>
        <w:t>שמו של ה</w:t>
      </w:r>
      <w:r w:rsidRPr="00D91656">
        <w:rPr>
          <w:rStyle w:val="a4"/>
          <w:rFonts w:hint="cs"/>
          <w:rtl/>
        </w:rPr>
        <w:t>תמר</w:t>
      </w:r>
      <w:r w:rsidRPr="008636EE">
        <w:rPr>
          <w:rStyle w:val="a3"/>
          <w:rtl/>
        </w:rPr>
        <w:endnoteReference w:id="12"/>
      </w:r>
      <w:r>
        <w:rPr>
          <w:rFonts w:hint="cs"/>
          <w:rtl/>
        </w:rPr>
        <w:t xml:space="preserve"> מסמל את </w:t>
      </w:r>
      <w:proofErr w:type="spellStart"/>
      <w:r>
        <w:rPr>
          <w:rFonts w:hint="cs"/>
          <w:rtl/>
        </w:rPr>
        <w:t>הכח</w:t>
      </w:r>
      <w:proofErr w:type="spellEnd"/>
      <w:r>
        <w:rPr>
          <w:rFonts w:hint="cs"/>
          <w:rtl/>
        </w:rPr>
        <w:t xml:space="preserve"> להפיג את המרירות, </w:t>
      </w:r>
      <w:r w:rsidRPr="00D91656">
        <w:rPr>
          <w:rStyle w:val="a4"/>
          <w:rFonts w:hint="cs"/>
          <w:rtl/>
        </w:rPr>
        <w:t>תם</w:t>
      </w:r>
      <w:r>
        <w:rPr>
          <w:rFonts w:hint="cs"/>
          <w:rtl/>
        </w:rPr>
        <w:t>-</w:t>
      </w:r>
      <w:r w:rsidRPr="00D91656">
        <w:rPr>
          <w:rStyle w:val="a4"/>
          <w:rFonts w:hint="cs"/>
          <w:rtl/>
        </w:rPr>
        <w:t>מר</w:t>
      </w:r>
      <w:r>
        <w:rPr>
          <w:rFonts w:hint="cs"/>
          <w:rtl/>
        </w:rPr>
        <w:t>, ולהפוך אותה לדבש מתוק (שהרי בשבעת המינים שנשבחה בהם ארץ ישראל נקרא התמר "דבש"</w:t>
      </w:r>
      <w:r w:rsidRPr="008636EE">
        <w:rPr>
          <w:rStyle w:val="a3"/>
          <w:rtl/>
        </w:rPr>
        <w:endnoteReference w:id="13"/>
      </w:r>
      <w:r>
        <w:rPr>
          <w:rFonts w:hint="cs"/>
          <w:rtl/>
        </w:rPr>
        <w:t xml:space="preserve">), בסוד "טעמין מרירו </w:t>
      </w:r>
      <w:proofErr w:type="spellStart"/>
      <w:r>
        <w:rPr>
          <w:rFonts w:hint="cs"/>
          <w:rtl/>
        </w:rPr>
        <w:t>למיתקא</w:t>
      </w:r>
      <w:proofErr w:type="spellEnd"/>
      <w:r>
        <w:rPr>
          <w:rFonts w:hint="cs"/>
          <w:rtl/>
        </w:rPr>
        <w:t>". לפני הפגישה בין בני הזוג יתכנו אצל כל אחד מהם רגשות מרירים על כך שלא מצא את בן זוגו (וגם תאוות בלתי רצויות נקראות "מים מרים"</w:t>
      </w:r>
      <w:r w:rsidRPr="008636EE">
        <w:rPr>
          <w:rStyle w:val="a3"/>
          <w:rtl/>
        </w:rPr>
        <w:endnoteReference w:id="14"/>
      </w:r>
      <w:r>
        <w:rPr>
          <w:rFonts w:hint="cs"/>
          <w:rtl/>
        </w:rPr>
        <w:t>), אך כאשר זוכים לפגוש את בן הזוג הופכים הרגשות למתוקים, כאשר תחושת המרחק עצמה הופכת לגעגועים וכסופים שכל כולם אהבה מתוקה. ה</w:t>
      </w:r>
      <w:r w:rsidRPr="00582F5A">
        <w:rPr>
          <w:rFonts w:hint="cs"/>
          <w:b/>
          <w:bCs/>
          <w:sz w:val="28"/>
          <w:szCs w:val="28"/>
          <w:rtl/>
        </w:rPr>
        <w:t>דבש</w:t>
      </w:r>
      <w:r>
        <w:rPr>
          <w:rFonts w:hint="cs"/>
          <w:rtl/>
        </w:rPr>
        <w:t xml:space="preserve"> רומז לסוד </w:t>
      </w:r>
      <w:r w:rsidRPr="00582F5A">
        <w:rPr>
          <w:rFonts w:hint="cs"/>
          <w:b/>
          <w:bCs/>
          <w:sz w:val="28"/>
          <w:szCs w:val="28"/>
          <w:rtl/>
        </w:rPr>
        <w:t>ד</w:t>
      </w:r>
      <w:r>
        <w:rPr>
          <w:rFonts w:hint="cs"/>
          <w:rtl/>
        </w:rPr>
        <w:t>וד-</w:t>
      </w:r>
      <w:r w:rsidRPr="00582F5A">
        <w:rPr>
          <w:rFonts w:hint="cs"/>
          <w:b/>
          <w:bCs/>
          <w:sz w:val="28"/>
          <w:szCs w:val="28"/>
          <w:rtl/>
        </w:rPr>
        <w:t>ב</w:t>
      </w:r>
      <w:r>
        <w:rPr>
          <w:rFonts w:hint="cs"/>
          <w:rtl/>
        </w:rPr>
        <w:t>ת-</w:t>
      </w:r>
      <w:r w:rsidRPr="00582F5A">
        <w:rPr>
          <w:rFonts w:hint="cs"/>
          <w:b/>
          <w:bCs/>
          <w:sz w:val="28"/>
          <w:szCs w:val="28"/>
          <w:rtl/>
        </w:rPr>
        <w:t>ש</w:t>
      </w:r>
      <w:r>
        <w:rPr>
          <w:rFonts w:hint="cs"/>
          <w:rtl/>
        </w:rPr>
        <w:t>בע</w:t>
      </w:r>
      <w:r w:rsidRPr="008636EE">
        <w:rPr>
          <w:rStyle w:val="a3"/>
          <w:rtl/>
        </w:rPr>
        <w:endnoteReference w:id="15"/>
      </w:r>
      <w:r>
        <w:rPr>
          <w:rFonts w:hint="cs"/>
          <w:rtl/>
        </w:rPr>
        <w:t xml:space="preserve">, שראשית הקשר ביניהם לווה בטעם מר, אך סופו בהמתקה גדולה של </w:t>
      </w:r>
      <w:r w:rsidRPr="00582F5A">
        <w:rPr>
          <w:rFonts w:hint="cs"/>
          <w:b/>
          <w:bCs/>
          <w:sz w:val="28"/>
          <w:szCs w:val="28"/>
          <w:rtl/>
        </w:rPr>
        <w:t>שלום</w:t>
      </w:r>
      <w:r>
        <w:rPr>
          <w:rFonts w:hint="cs"/>
          <w:rtl/>
        </w:rPr>
        <w:t xml:space="preserve"> </w:t>
      </w:r>
      <w:r w:rsidRPr="00582F5A">
        <w:rPr>
          <w:rFonts w:hint="cs"/>
          <w:b/>
          <w:bCs/>
          <w:sz w:val="28"/>
          <w:szCs w:val="28"/>
          <w:rtl/>
        </w:rPr>
        <w:t>בית</w:t>
      </w:r>
      <w:r>
        <w:rPr>
          <w:rFonts w:hint="cs"/>
          <w:rtl/>
        </w:rPr>
        <w:t xml:space="preserve"> (</w:t>
      </w:r>
      <w:proofErr w:type="spellStart"/>
      <w:r>
        <w:rPr>
          <w:rFonts w:hint="cs"/>
          <w:rtl/>
        </w:rPr>
        <w:t>בגימטריא</w:t>
      </w:r>
      <w:proofErr w:type="spellEnd"/>
      <w:r>
        <w:rPr>
          <w:rFonts w:hint="cs"/>
          <w:rtl/>
        </w:rPr>
        <w:t xml:space="preserve"> </w:t>
      </w:r>
      <w:r w:rsidRPr="00582F5A">
        <w:rPr>
          <w:rFonts w:hint="cs"/>
          <w:b/>
          <w:bCs/>
          <w:sz w:val="28"/>
          <w:szCs w:val="28"/>
          <w:rtl/>
        </w:rPr>
        <w:t>דוד</w:t>
      </w:r>
      <w:r>
        <w:rPr>
          <w:rFonts w:hint="cs"/>
          <w:rtl/>
        </w:rPr>
        <w:t xml:space="preserve"> </w:t>
      </w:r>
      <w:r w:rsidRPr="00582F5A">
        <w:rPr>
          <w:rFonts w:hint="cs"/>
          <w:b/>
          <w:bCs/>
          <w:sz w:val="28"/>
          <w:szCs w:val="28"/>
          <w:rtl/>
        </w:rPr>
        <w:t>בת</w:t>
      </w:r>
      <w:r>
        <w:rPr>
          <w:rFonts w:hint="cs"/>
          <w:rtl/>
        </w:rPr>
        <w:t xml:space="preserve"> </w:t>
      </w:r>
      <w:r w:rsidRPr="00582F5A">
        <w:rPr>
          <w:rFonts w:hint="cs"/>
          <w:b/>
          <w:bCs/>
          <w:sz w:val="28"/>
          <w:szCs w:val="28"/>
          <w:rtl/>
        </w:rPr>
        <w:t>שבע</w:t>
      </w:r>
      <w:r>
        <w:rPr>
          <w:rFonts w:hint="cs"/>
          <w:rtl/>
        </w:rPr>
        <w:t>) שדווקא ממנו נולד שלמה המלך, הממשיך את בית דוד עד ללידת המשיח.</w:t>
      </w:r>
    </w:p>
    <w:p w:rsidR="00191ACB" w:rsidRDefault="00191ACB" w:rsidP="00191ACB">
      <w:pPr>
        <w:rPr>
          <w:rFonts w:hint="cs"/>
          <w:rtl/>
        </w:rPr>
      </w:pPr>
      <w:r>
        <w:rPr>
          <w:rFonts w:hint="cs"/>
          <w:rtl/>
        </w:rPr>
        <w:t>בין השמש והירח קיים מרחק גדול, כאשר רק האור עובר ביניהם, וגם ההפריה בין עץ התמר והתמרה אינה כוללת מפגש ביניהם, שהרי כל אחד נטוע במקומו. רק במדרגת החי יכולים המלך והמלכה לנוע זה אל זו ולהגיע לקרבה של ממש. כך, רק אחרי ההכנה של הפיכת החשך לאור וטעימת המר למתוק מוכנים בני הזוג להתקרב ולממש את קשר האהבה ביניהם בלהט של אש קדש בזיווג הגופני</w:t>
      </w:r>
      <w:r w:rsidRPr="008846EE">
        <w:rPr>
          <w:rStyle w:val="a7"/>
        </w:rPr>
        <w:fldChar w:fldCharType="begin"/>
      </w:r>
      <w:r w:rsidRPr="008846EE">
        <w:rPr>
          <w:rStyle w:val="a7"/>
          <w:rtl/>
        </w:rPr>
        <w:instrText xml:space="preserve"> </w:instrText>
      </w:r>
      <w:r w:rsidRPr="008846EE">
        <w:rPr>
          <w:rStyle w:val="a7"/>
          <w:rFonts w:hint="cs"/>
        </w:rPr>
        <w:instrText>NOTEREF</w:instrText>
      </w:r>
      <w:r w:rsidRPr="008846EE">
        <w:rPr>
          <w:rStyle w:val="a7"/>
          <w:rFonts w:hint="cs"/>
          <w:rtl/>
        </w:rPr>
        <w:instrText xml:space="preserve"> _</w:instrText>
      </w:r>
      <w:r w:rsidRPr="008846EE">
        <w:rPr>
          <w:rStyle w:val="a7"/>
          <w:rFonts w:hint="cs"/>
        </w:rPr>
        <w:instrText>Ref300288546 \h</w:instrText>
      </w:r>
      <w:r w:rsidRPr="008846EE">
        <w:rPr>
          <w:rStyle w:val="a7"/>
          <w:rtl/>
        </w:rPr>
        <w:instrText xml:space="preserve"> </w:instrText>
      </w:r>
      <w:r w:rsidRPr="008846EE">
        <w:rPr>
          <w:rStyle w:val="a7"/>
        </w:rPr>
      </w:r>
      <w:r>
        <w:rPr>
          <w:rStyle w:val="a7"/>
        </w:rPr>
        <w:instrText xml:space="preserve"> \* MERGEFORMAT </w:instrText>
      </w:r>
      <w:r w:rsidRPr="008846EE">
        <w:rPr>
          <w:rStyle w:val="a7"/>
        </w:rPr>
        <w:fldChar w:fldCharType="separate"/>
      </w:r>
      <w:r>
        <w:rPr>
          <w:rStyle w:val="a7"/>
          <w:rtl/>
        </w:rPr>
        <w:t>ח</w:t>
      </w:r>
      <w:r w:rsidRPr="008846EE">
        <w:rPr>
          <w:rStyle w:val="a7"/>
        </w:rPr>
        <w:fldChar w:fldCharType="end"/>
      </w:r>
      <w:r>
        <w:rPr>
          <w:rFonts w:hint="cs"/>
          <w:rtl/>
        </w:rPr>
        <w:t xml:space="preserve">. עצמת אש האהבה הרבה ביותר מתבטאת בזיווג האריה והלביאה, עד שדווקא הוא הדימוי לקשר האהבה בין הקב"ה וכנסת ישראל: "אוי לה לאומה שתמצא בשעה שהקב"ה עושה פדיון לבניו, מי מטיל כסותו בין אריה ללביאה בשעה </w:t>
      </w:r>
      <w:proofErr w:type="spellStart"/>
      <w:r>
        <w:rPr>
          <w:rFonts w:hint="cs"/>
          <w:rtl/>
        </w:rPr>
        <w:t>שנזקקין</w:t>
      </w:r>
      <w:proofErr w:type="spellEnd"/>
      <w:r>
        <w:rPr>
          <w:rFonts w:hint="cs"/>
          <w:rtl/>
        </w:rPr>
        <w:t xml:space="preserve"> זה עם זה?!"</w:t>
      </w:r>
      <w:r w:rsidRPr="008636EE">
        <w:rPr>
          <w:rStyle w:val="a3"/>
          <w:rtl/>
        </w:rPr>
        <w:endnoteReference w:id="16"/>
      </w:r>
      <w:r>
        <w:rPr>
          <w:rFonts w:hint="cs"/>
          <w:rtl/>
        </w:rPr>
        <w:t>.</w:t>
      </w:r>
    </w:p>
    <w:p w:rsidR="00191ACB" w:rsidRDefault="00191ACB" w:rsidP="00191ACB">
      <w:pPr>
        <w:rPr>
          <w:rFonts w:hint="cs"/>
          <w:rtl/>
        </w:rPr>
      </w:pPr>
      <w:r>
        <w:rPr>
          <w:rFonts w:hint="cs"/>
          <w:rtl/>
        </w:rPr>
        <w:t xml:space="preserve">הקשר בין המלך והמלכה שבעולם המדברים, הנמלכים זה בזו ומשתעשעים יחדיו הוא סוד זווג </w:t>
      </w:r>
      <w:proofErr w:type="spellStart"/>
      <w:r>
        <w:rPr>
          <w:rFonts w:hint="cs"/>
          <w:rtl/>
        </w:rPr>
        <w:t>נשיקין</w:t>
      </w:r>
      <w:proofErr w:type="spellEnd"/>
      <w:r w:rsidRPr="008636EE">
        <w:rPr>
          <w:rStyle w:val="a3"/>
          <w:rtl/>
        </w:rPr>
        <w:endnoteReference w:id="17"/>
      </w:r>
      <w:r>
        <w:rPr>
          <w:rFonts w:hint="cs"/>
          <w:rtl/>
        </w:rPr>
        <w:t xml:space="preserve">, הרוחני יותר </w:t>
      </w:r>
      <w:proofErr w:type="spellStart"/>
      <w:r>
        <w:rPr>
          <w:rFonts w:hint="cs"/>
          <w:rtl/>
        </w:rPr>
        <w:t>מהזווג</w:t>
      </w:r>
      <w:proofErr w:type="spellEnd"/>
      <w:r>
        <w:rPr>
          <w:rFonts w:hint="cs"/>
          <w:rtl/>
        </w:rPr>
        <w:t xml:space="preserve"> הגופני. בעולם הזה </w:t>
      </w:r>
      <w:proofErr w:type="spellStart"/>
      <w:r>
        <w:rPr>
          <w:rFonts w:hint="cs"/>
          <w:rtl/>
        </w:rPr>
        <w:t>הזווג</w:t>
      </w:r>
      <w:proofErr w:type="spellEnd"/>
      <w:r>
        <w:rPr>
          <w:rFonts w:hint="cs"/>
          <w:rtl/>
        </w:rPr>
        <w:t xml:space="preserve"> הגופני 'עצמי' ופורה יותר</w:t>
      </w:r>
      <w:r w:rsidRPr="008636EE">
        <w:rPr>
          <w:rStyle w:val="a3"/>
          <w:rtl/>
        </w:rPr>
        <w:endnoteReference w:id="18"/>
      </w:r>
      <w:r>
        <w:rPr>
          <w:rFonts w:hint="cs"/>
          <w:rtl/>
        </w:rPr>
        <w:t>, אך לעתיד לבוא, כאשר אין פריה ורביה</w:t>
      </w:r>
      <w:r w:rsidRPr="008636EE">
        <w:rPr>
          <w:rStyle w:val="a3"/>
          <w:rtl/>
        </w:rPr>
        <w:endnoteReference w:id="19"/>
      </w:r>
      <w:r>
        <w:rPr>
          <w:rFonts w:hint="cs"/>
          <w:rtl/>
        </w:rPr>
        <w:t xml:space="preserve"> ותכלית כל </w:t>
      </w:r>
      <w:proofErr w:type="spellStart"/>
      <w:r>
        <w:rPr>
          <w:rFonts w:hint="cs"/>
          <w:rtl/>
        </w:rPr>
        <w:t>היחודים</w:t>
      </w:r>
      <w:proofErr w:type="spellEnd"/>
      <w:r>
        <w:rPr>
          <w:rFonts w:hint="cs"/>
          <w:rtl/>
        </w:rPr>
        <w:t xml:space="preserve"> היא שמחה ושעשועים עצמיים</w:t>
      </w:r>
      <w:r w:rsidRPr="008636EE">
        <w:rPr>
          <w:rStyle w:val="a3"/>
          <w:rtl/>
        </w:rPr>
        <w:endnoteReference w:id="20"/>
      </w:r>
      <w:r>
        <w:rPr>
          <w:rFonts w:hint="cs"/>
          <w:rtl/>
        </w:rPr>
        <w:t xml:space="preserve">, העיקר הוא זווג </w:t>
      </w:r>
      <w:proofErr w:type="spellStart"/>
      <w:r>
        <w:rPr>
          <w:rFonts w:hint="cs"/>
          <w:rtl/>
        </w:rPr>
        <w:t>הנשיקין</w:t>
      </w:r>
      <w:proofErr w:type="spellEnd"/>
      <w:r>
        <w:rPr>
          <w:rFonts w:hint="cs"/>
          <w:rtl/>
        </w:rPr>
        <w:t xml:space="preserve">. כך גם הקשר העתידי שלנו עם ה', המבוסס על גילוי רזי תורה, מתואר בפסוק "ישקני מנשיקות </w:t>
      </w:r>
      <w:proofErr w:type="spellStart"/>
      <w:r>
        <w:rPr>
          <w:rFonts w:hint="cs"/>
          <w:rtl/>
        </w:rPr>
        <w:t>פיהו</w:t>
      </w:r>
      <w:proofErr w:type="spellEnd"/>
      <w:r>
        <w:rPr>
          <w:rFonts w:hint="cs"/>
          <w:rtl/>
        </w:rPr>
        <w:t>"</w:t>
      </w:r>
      <w:r w:rsidRPr="008636EE">
        <w:rPr>
          <w:rStyle w:val="a3"/>
          <w:rtl/>
        </w:rPr>
        <w:endnoteReference w:id="21"/>
      </w:r>
      <w:r>
        <w:rPr>
          <w:rFonts w:hint="cs"/>
          <w:rtl/>
        </w:rPr>
        <w:t xml:space="preserve">. [ובסגנון נוסף, על פי סוד "עולמות נשמות </w:t>
      </w:r>
      <w:proofErr w:type="spellStart"/>
      <w:r>
        <w:rPr>
          <w:rFonts w:hint="cs"/>
          <w:rtl/>
        </w:rPr>
        <w:t>אלקות</w:t>
      </w:r>
      <w:proofErr w:type="spellEnd"/>
      <w:r>
        <w:rPr>
          <w:rFonts w:hint="cs"/>
          <w:rtl/>
        </w:rPr>
        <w:t>" ש"עולים ומתקשרים ומתייחדים"</w:t>
      </w:r>
      <w:r w:rsidRPr="008636EE">
        <w:rPr>
          <w:rStyle w:val="a3"/>
          <w:rtl/>
        </w:rPr>
        <w:endnoteReference w:id="22"/>
      </w:r>
      <w:r>
        <w:rPr>
          <w:rFonts w:hint="cs"/>
          <w:rtl/>
        </w:rPr>
        <w:t>: הקשר הבסיסי בין השמש והירח נותן משמעות והארה בתחום העולמות; קשר התמרים הוא בסוד "עלית העולמות", בבחינת "אעלה בתמר"</w:t>
      </w:r>
      <w:r w:rsidRPr="008636EE">
        <w:rPr>
          <w:rStyle w:val="a3"/>
          <w:rtl/>
        </w:rPr>
        <w:endnoteReference w:id="23"/>
      </w:r>
      <w:r>
        <w:rPr>
          <w:rFonts w:hint="cs"/>
          <w:rtl/>
        </w:rPr>
        <w:t xml:space="preserve"> (כאשר </w:t>
      </w:r>
      <w:proofErr w:type="spellStart"/>
      <w:r>
        <w:rPr>
          <w:rFonts w:hint="cs"/>
          <w:rtl/>
        </w:rPr>
        <w:t>האשה</w:t>
      </w:r>
      <w:proofErr w:type="spellEnd"/>
      <w:r>
        <w:rPr>
          <w:rFonts w:hint="cs"/>
          <w:rtl/>
        </w:rPr>
        <w:t xml:space="preserve"> "עולה עמו ואינה </w:t>
      </w:r>
      <w:r>
        <w:rPr>
          <w:rFonts w:hint="cs"/>
          <w:rtl/>
        </w:rPr>
        <w:lastRenderedPageBreak/>
        <w:t>יורדת"</w:t>
      </w:r>
      <w:r w:rsidRPr="008636EE">
        <w:rPr>
          <w:rStyle w:val="a3"/>
          <w:rtl/>
        </w:rPr>
        <w:endnoteReference w:id="24"/>
      </w:r>
      <w:r>
        <w:rPr>
          <w:rFonts w:hint="cs"/>
          <w:rtl/>
        </w:rPr>
        <w:t xml:space="preserve">); דבקות האריה והלביאה היא בבחינת "התקשרות הנשמות"; </w:t>
      </w:r>
      <w:proofErr w:type="spellStart"/>
      <w:r>
        <w:rPr>
          <w:rFonts w:hint="cs"/>
          <w:rtl/>
        </w:rPr>
        <w:t>והנשיקין</w:t>
      </w:r>
      <w:proofErr w:type="spellEnd"/>
      <w:r>
        <w:rPr>
          <w:rFonts w:hint="cs"/>
          <w:rtl/>
        </w:rPr>
        <w:t xml:space="preserve"> בין המלך והמלכה הם כבר בסוד "יחוד </w:t>
      </w:r>
      <w:proofErr w:type="spellStart"/>
      <w:r>
        <w:rPr>
          <w:rFonts w:hint="cs"/>
          <w:rtl/>
        </w:rPr>
        <w:t>אלקות</w:t>
      </w:r>
      <w:proofErr w:type="spellEnd"/>
      <w:r>
        <w:rPr>
          <w:rFonts w:hint="cs"/>
          <w:rtl/>
        </w:rPr>
        <w:t>", וד"ל].</w:t>
      </w:r>
    </w:p>
    <w:p w:rsidR="00191ACB" w:rsidRDefault="00191ACB" w:rsidP="00191ACB">
      <w:pPr>
        <w:rPr>
          <w:rFonts w:hint="cs"/>
          <w:rtl/>
        </w:rPr>
      </w:pPr>
      <w:r>
        <w:rPr>
          <w:rFonts w:hint="cs"/>
          <w:rtl/>
        </w:rPr>
        <w:t>והנה, את ארבע הרמות ניתן להקביל לארבע התקופות מהן מורכבת השנה: דימוי המלך והמלכה כפשוטם מתאים לתקופת ניסן, שהרי בחדש ניסן, "החדש הזה לכם ראש חדשים"</w:t>
      </w:r>
      <w:r w:rsidRPr="008636EE">
        <w:rPr>
          <w:rStyle w:val="a3"/>
          <w:rtl/>
        </w:rPr>
        <w:endnoteReference w:id="25"/>
      </w:r>
      <w:r>
        <w:rPr>
          <w:rFonts w:hint="cs"/>
          <w:rtl/>
        </w:rPr>
        <w:t>, זכו ישראל במעלת המלכים, והוא "ראש השנה למלכי ישראל"</w:t>
      </w:r>
      <w:r w:rsidRPr="008636EE">
        <w:rPr>
          <w:rStyle w:val="a3"/>
          <w:rtl/>
        </w:rPr>
        <w:endnoteReference w:id="26"/>
      </w:r>
      <w:r>
        <w:rPr>
          <w:rFonts w:hint="cs"/>
          <w:rtl/>
        </w:rPr>
        <w:t>; דימוי האריה והלביאה מתאים לתקופת תמוז, שמרכזה חדש אב שמזלו אריה (</w:t>
      </w:r>
      <w:proofErr w:type="spellStart"/>
      <w:r>
        <w:rPr>
          <w:rFonts w:hint="cs"/>
          <w:rtl/>
        </w:rPr>
        <w:t>שבהיותו</w:t>
      </w:r>
      <w:proofErr w:type="spellEnd"/>
      <w:r>
        <w:rPr>
          <w:rFonts w:hint="cs"/>
          <w:rtl/>
        </w:rPr>
        <w:t xml:space="preserve"> סמל לחורבן הבית </w:t>
      </w:r>
      <w:proofErr w:type="spellStart"/>
      <w:r>
        <w:rPr>
          <w:rFonts w:hint="cs"/>
          <w:rtl/>
        </w:rPr>
        <w:t>והבנין</w:t>
      </w:r>
      <w:proofErr w:type="spellEnd"/>
      <w:r>
        <w:rPr>
          <w:rFonts w:hint="cs"/>
          <w:rtl/>
        </w:rPr>
        <w:t xml:space="preserve"> שעתיד לצמוח ממנו</w:t>
      </w:r>
      <w:r w:rsidRPr="008636EE">
        <w:rPr>
          <w:rStyle w:val="a3"/>
          <w:rtl/>
        </w:rPr>
        <w:endnoteReference w:id="27"/>
      </w:r>
      <w:r>
        <w:rPr>
          <w:rFonts w:hint="cs"/>
          <w:rtl/>
        </w:rPr>
        <w:t xml:space="preserve"> הוא מתפשט גם לחדש תמוז שלפניו, ובהיותו מקור לשאגה-מעוררת-יראה-ותשובה</w:t>
      </w:r>
      <w:r w:rsidRPr="008636EE">
        <w:rPr>
          <w:rStyle w:val="a3"/>
          <w:rtl/>
        </w:rPr>
        <w:endnoteReference w:id="28"/>
      </w:r>
      <w:r>
        <w:rPr>
          <w:rFonts w:hint="cs"/>
          <w:rtl/>
        </w:rPr>
        <w:t xml:space="preserve"> הוא מתפשט לחדש אלול שאחריו</w:t>
      </w:r>
      <w:r w:rsidRPr="008636EE">
        <w:rPr>
          <w:rStyle w:val="a3"/>
          <w:rtl/>
        </w:rPr>
        <w:endnoteReference w:id="29"/>
      </w:r>
      <w:r>
        <w:rPr>
          <w:rFonts w:hint="cs"/>
          <w:rtl/>
        </w:rPr>
        <w:t xml:space="preserve">); התמר והתמרה באים לידי ביטוי בתקופת תשרי, בה הלולב הוא העיקרי והבולט בארבעת המינים בהם שמחים בחג הסוכות (וכן המתקת הדבש </w:t>
      </w:r>
      <w:proofErr w:type="spellStart"/>
      <w:r>
        <w:rPr>
          <w:rFonts w:hint="cs"/>
          <w:rtl/>
        </w:rPr>
        <w:t>מלוה</w:t>
      </w:r>
      <w:proofErr w:type="spellEnd"/>
      <w:r>
        <w:rPr>
          <w:rFonts w:hint="cs"/>
          <w:rtl/>
        </w:rPr>
        <w:t xml:space="preserve"> את חדש תשרי כולו, "ירח הדבש" היהודי</w:t>
      </w:r>
      <w:r w:rsidRPr="008636EE">
        <w:rPr>
          <w:rStyle w:val="a3"/>
          <w:rtl/>
        </w:rPr>
        <w:endnoteReference w:id="30"/>
      </w:r>
      <w:r>
        <w:rPr>
          <w:rFonts w:hint="cs"/>
          <w:rtl/>
        </w:rPr>
        <w:t xml:space="preserve">); דימוי השמש והירח שייכים לתקופת טבת </w:t>
      </w:r>
      <w:r>
        <w:rPr>
          <w:rtl/>
        </w:rPr>
        <w:t>–</w:t>
      </w:r>
      <w:r>
        <w:rPr>
          <w:rFonts w:hint="cs"/>
          <w:rtl/>
        </w:rPr>
        <w:t xml:space="preserve"> ה</w:t>
      </w:r>
      <w:r w:rsidRPr="00D91656">
        <w:rPr>
          <w:rStyle w:val="a4"/>
          <w:rFonts w:hint="cs"/>
          <w:rtl/>
        </w:rPr>
        <w:t>שמש</w:t>
      </w:r>
      <w:r>
        <w:rPr>
          <w:rFonts w:hint="cs"/>
          <w:rtl/>
        </w:rPr>
        <w:t xml:space="preserve"> מתבטאת בדמותו של </w:t>
      </w:r>
      <w:r w:rsidRPr="00D91656">
        <w:rPr>
          <w:rStyle w:val="a4"/>
          <w:rFonts w:hint="cs"/>
          <w:rtl/>
        </w:rPr>
        <w:t>שמשון</w:t>
      </w:r>
      <w:r>
        <w:rPr>
          <w:rFonts w:hint="cs"/>
          <w:rtl/>
        </w:rPr>
        <w:t xml:space="preserve"> הדני, והרי חדש טבת שייך לשבט דן</w:t>
      </w:r>
      <w:r w:rsidRPr="008636EE">
        <w:rPr>
          <w:rStyle w:val="a3"/>
          <w:rtl/>
        </w:rPr>
        <w:endnoteReference w:id="31"/>
      </w:r>
      <w:r>
        <w:rPr>
          <w:rFonts w:hint="cs"/>
          <w:rtl/>
        </w:rPr>
        <w:t>, והגיבורה של חדש אדר היא אסתר המלכה (</w:t>
      </w:r>
      <w:proofErr w:type="spellStart"/>
      <w:r>
        <w:rPr>
          <w:rFonts w:hint="cs"/>
          <w:rtl/>
        </w:rPr>
        <w:t>אסתהר</w:t>
      </w:r>
      <w:proofErr w:type="spellEnd"/>
      <w:r>
        <w:rPr>
          <w:rFonts w:hint="cs"/>
          <w:rtl/>
        </w:rPr>
        <w:t xml:space="preserve"> בפרסית</w:t>
      </w:r>
      <w:r w:rsidRPr="008636EE">
        <w:rPr>
          <w:rStyle w:val="a3"/>
          <w:rtl/>
        </w:rPr>
        <w:endnoteReference w:id="32"/>
      </w:r>
      <w:r>
        <w:rPr>
          <w:rFonts w:hint="cs"/>
          <w:rtl/>
        </w:rPr>
        <w:t xml:space="preserve">), הקרויה כך על שם הסהר-הירח. השיוך למעגל השנה מגלה כי "נעוץ סופן </w:t>
      </w:r>
      <w:proofErr w:type="spellStart"/>
      <w:r>
        <w:rPr>
          <w:rFonts w:hint="cs"/>
          <w:rtl/>
        </w:rPr>
        <w:t>בתחלתן</w:t>
      </w:r>
      <w:proofErr w:type="spellEnd"/>
      <w:r>
        <w:rPr>
          <w:rFonts w:hint="cs"/>
          <w:rtl/>
        </w:rPr>
        <w:t>"</w:t>
      </w:r>
      <w:r w:rsidRPr="008636EE">
        <w:rPr>
          <w:rStyle w:val="a3"/>
          <w:rtl/>
        </w:rPr>
        <w:endnoteReference w:id="33"/>
      </w:r>
      <w:r>
        <w:rPr>
          <w:rFonts w:hint="cs"/>
          <w:rtl/>
        </w:rPr>
        <w:t xml:space="preserve">, כאשר מהדימוי הנמוך ביותר, של סהר הירח בחדש אדר, חוזרים ל"ראש השנה למלכי ישראל" עם חידוש הלבנה ב"החדש הזה לכם ראש חדשים" (לעתים ההתחדשות אינה אלא צמיחה </w:t>
      </w:r>
      <w:proofErr w:type="spellStart"/>
      <w:r>
        <w:rPr>
          <w:rFonts w:hint="cs"/>
          <w:rtl/>
        </w:rPr>
        <w:t>ורענון</w:t>
      </w:r>
      <w:proofErr w:type="spellEnd"/>
      <w:r>
        <w:rPr>
          <w:rFonts w:hint="cs"/>
          <w:rtl/>
        </w:rPr>
        <w:t xml:space="preserve"> חדשים של הקשר מבסיסו הטבעי, ולעתים, כאשר במהלך השנה </w:t>
      </w:r>
      <w:proofErr w:type="spellStart"/>
      <w:r>
        <w:rPr>
          <w:rFonts w:hint="cs"/>
          <w:rtl/>
        </w:rPr>
        <w:t>היתה</w:t>
      </w:r>
      <w:proofErr w:type="spellEnd"/>
      <w:r>
        <w:rPr>
          <w:rFonts w:hint="cs"/>
          <w:rtl/>
        </w:rPr>
        <w:t xml:space="preserve"> חלילה התדרדרות עד למצב החשוך של הסהר בסוף </w:t>
      </w:r>
      <w:r w:rsidRPr="000C5E55">
        <w:rPr>
          <w:rFonts w:hint="cs"/>
          <w:rtl/>
        </w:rPr>
        <w:t>החודש</w:t>
      </w:r>
      <w:r w:rsidRPr="008636EE">
        <w:rPr>
          <w:rStyle w:val="a3"/>
          <w:rtl/>
        </w:rPr>
        <w:endnoteReference w:id="34"/>
      </w:r>
      <w:r w:rsidRPr="000C5E55">
        <w:rPr>
          <w:rFonts w:hint="cs"/>
          <w:rtl/>
        </w:rPr>
        <w:t xml:space="preserve"> </w:t>
      </w:r>
      <w:r w:rsidRPr="000C5E55">
        <w:rPr>
          <w:rtl/>
        </w:rPr>
        <w:t>–</w:t>
      </w:r>
      <w:r w:rsidRPr="000C5E55">
        <w:rPr>
          <w:rFonts w:hint="cs"/>
          <w:rtl/>
        </w:rPr>
        <w:t xml:space="preserve"> מצב של "גרש ירחים"</w:t>
      </w:r>
      <w:r w:rsidRPr="008636EE">
        <w:rPr>
          <w:rStyle w:val="a3"/>
          <w:rtl/>
        </w:rPr>
        <w:endnoteReference w:id="35"/>
      </w:r>
      <w:r w:rsidRPr="000C5E55">
        <w:rPr>
          <w:rFonts w:hint="cs"/>
          <w:rtl/>
        </w:rPr>
        <w:t xml:space="preserve"> </w:t>
      </w:r>
      <w:r w:rsidRPr="000C5E55">
        <w:rPr>
          <w:rtl/>
        </w:rPr>
        <w:t>–</w:t>
      </w:r>
      <w:r w:rsidRPr="000C5E55">
        <w:rPr>
          <w:rFonts w:hint="cs"/>
          <w:rtl/>
        </w:rPr>
        <w:t xml:space="preserve"> יכולה</w:t>
      </w:r>
      <w:r>
        <w:rPr>
          <w:rFonts w:hint="cs"/>
          <w:rtl/>
        </w:rPr>
        <w:t xml:space="preserve"> ההתחדשות להיות אפילו בגדר קיום מצות "מחזיר גרושתו"</w:t>
      </w:r>
      <w:r w:rsidRPr="008636EE">
        <w:rPr>
          <w:rStyle w:val="a3"/>
          <w:rtl/>
        </w:rPr>
        <w:endnoteReference w:id="36"/>
      </w:r>
      <w:r>
        <w:rPr>
          <w:rFonts w:hint="cs"/>
          <w:rtl/>
        </w:rPr>
        <w:t>...).</w:t>
      </w:r>
    </w:p>
    <w:p w:rsidR="005F4A47" w:rsidRDefault="00191ACB" w:rsidP="00191ACB">
      <w:r w:rsidRPr="000C5E55">
        <w:rPr>
          <w:rFonts w:hint="cs"/>
          <w:rtl/>
        </w:rPr>
        <w:t xml:space="preserve">וכמה רמזים לקינוח: כל הרמות </w:t>
      </w:r>
      <w:r w:rsidRPr="000C5E55">
        <w:rPr>
          <w:rtl/>
        </w:rPr>
        <w:t>–</w:t>
      </w:r>
      <w:r w:rsidRPr="000C5E55">
        <w:rPr>
          <w:rFonts w:hint="cs"/>
          <w:rtl/>
        </w:rPr>
        <w:t xml:space="preserve"> </w:t>
      </w:r>
      <w:r w:rsidRPr="000C5E55">
        <w:rPr>
          <w:rFonts w:hint="cs"/>
          <w:b/>
          <w:bCs/>
          <w:sz w:val="28"/>
          <w:szCs w:val="28"/>
          <w:rtl/>
        </w:rPr>
        <w:t>מלך</w:t>
      </w:r>
      <w:r w:rsidRPr="000C5E55">
        <w:rPr>
          <w:rFonts w:hint="cs"/>
          <w:rtl/>
        </w:rPr>
        <w:t xml:space="preserve"> </w:t>
      </w:r>
      <w:r w:rsidRPr="000C5E55">
        <w:rPr>
          <w:rFonts w:hint="cs"/>
          <w:b/>
          <w:bCs/>
          <w:sz w:val="28"/>
          <w:szCs w:val="28"/>
          <w:rtl/>
        </w:rPr>
        <w:t>מלכה</w:t>
      </w:r>
      <w:r w:rsidRPr="000C5E55">
        <w:rPr>
          <w:rFonts w:hint="cs"/>
          <w:rtl/>
        </w:rPr>
        <w:t xml:space="preserve"> </w:t>
      </w:r>
      <w:r w:rsidRPr="000C5E55">
        <w:rPr>
          <w:rFonts w:hint="cs"/>
          <w:b/>
          <w:bCs/>
          <w:sz w:val="28"/>
          <w:szCs w:val="28"/>
          <w:rtl/>
        </w:rPr>
        <w:t>אריה</w:t>
      </w:r>
      <w:r w:rsidRPr="000C5E55">
        <w:rPr>
          <w:rFonts w:hint="cs"/>
          <w:rtl/>
        </w:rPr>
        <w:t xml:space="preserve"> </w:t>
      </w:r>
      <w:r w:rsidRPr="000C5E55">
        <w:rPr>
          <w:rFonts w:hint="cs"/>
          <w:b/>
          <w:bCs/>
          <w:sz w:val="28"/>
          <w:szCs w:val="28"/>
          <w:rtl/>
        </w:rPr>
        <w:t>לביאה</w:t>
      </w:r>
      <w:r w:rsidRPr="000C5E55">
        <w:rPr>
          <w:rFonts w:hint="cs"/>
          <w:rtl/>
        </w:rPr>
        <w:t xml:space="preserve"> </w:t>
      </w:r>
      <w:r w:rsidRPr="000C5E55">
        <w:rPr>
          <w:rFonts w:hint="cs"/>
          <w:b/>
          <w:bCs/>
          <w:sz w:val="28"/>
          <w:szCs w:val="28"/>
          <w:rtl/>
        </w:rPr>
        <w:t>תמר</w:t>
      </w:r>
      <w:r w:rsidRPr="000C5E55">
        <w:rPr>
          <w:rFonts w:hint="cs"/>
          <w:rtl/>
        </w:rPr>
        <w:t xml:space="preserve"> </w:t>
      </w:r>
      <w:r w:rsidRPr="000C5E55">
        <w:rPr>
          <w:rFonts w:hint="cs"/>
          <w:b/>
          <w:bCs/>
          <w:sz w:val="28"/>
          <w:szCs w:val="28"/>
          <w:rtl/>
        </w:rPr>
        <w:t>תמרה</w:t>
      </w:r>
      <w:r w:rsidRPr="000C5E55">
        <w:rPr>
          <w:rFonts w:hint="cs"/>
          <w:rtl/>
        </w:rPr>
        <w:t xml:space="preserve"> </w:t>
      </w:r>
      <w:r w:rsidRPr="000C5E55">
        <w:rPr>
          <w:rFonts w:hint="cs"/>
          <w:b/>
          <w:bCs/>
          <w:sz w:val="28"/>
          <w:szCs w:val="28"/>
          <w:rtl/>
        </w:rPr>
        <w:t>שמש</w:t>
      </w:r>
      <w:r w:rsidRPr="000C5E55">
        <w:rPr>
          <w:rFonts w:hint="cs"/>
          <w:rtl/>
        </w:rPr>
        <w:t xml:space="preserve"> </w:t>
      </w:r>
      <w:r w:rsidRPr="000C5E55">
        <w:rPr>
          <w:rFonts w:hint="cs"/>
          <w:b/>
          <w:bCs/>
          <w:sz w:val="28"/>
          <w:szCs w:val="28"/>
          <w:rtl/>
        </w:rPr>
        <w:t>ירח</w:t>
      </w:r>
      <w:r w:rsidRPr="000C5E55">
        <w:rPr>
          <w:rFonts w:hint="cs"/>
          <w:rtl/>
        </w:rPr>
        <w:t xml:space="preserve"> </w:t>
      </w:r>
      <w:r w:rsidRPr="000C5E55">
        <w:rPr>
          <w:rtl/>
        </w:rPr>
        <w:t>–</w:t>
      </w:r>
      <w:r w:rsidRPr="000C5E55">
        <w:rPr>
          <w:rFonts w:hint="cs"/>
          <w:rtl/>
        </w:rPr>
        <w:t xml:space="preserve"> עולים יחד רבוע כפול של </w:t>
      </w:r>
      <w:r w:rsidRPr="000C5E55">
        <w:rPr>
          <w:rFonts w:hint="cs"/>
          <w:b/>
          <w:bCs/>
          <w:sz w:val="28"/>
          <w:szCs w:val="28"/>
          <w:rtl/>
        </w:rPr>
        <w:t>לו</w:t>
      </w:r>
      <w:r w:rsidRPr="000C5E55">
        <w:rPr>
          <w:rFonts w:hint="cs"/>
          <w:rtl/>
        </w:rPr>
        <w:t xml:space="preserve">, נמצא שהערך הממוצע של כל מילה הוא </w:t>
      </w:r>
      <w:r w:rsidRPr="000C5E55">
        <w:rPr>
          <w:rFonts w:hint="cs"/>
          <w:b/>
          <w:bCs/>
          <w:sz w:val="28"/>
          <w:szCs w:val="28"/>
          <w:rtl/>
        </w:rPr>
        <w:t>חי</w:t>
      </w:r>
      <w:r w:rsidRPr="000C5E55">
        <w:rPr>
          <w:rFonts w:hint="cs"/>
          <w:rtl/>
        </w:rPr>
        <w:t xml:space="preserve"> ברבוע, בסוד "בן </w:t>
      </w:r>
      <w:r w:rsidRPr="000C5E55">
        <w:rPr>
          <w:rFonts w:hint="cs"/>
          <w:b/>
          <w:bCs/>
          <w:sz w:val="28"/>
          <w:szCs w:val="28"/>
          <w:rtl/>
        </w:rPr>
        <w:t>חי</w:t>
      </w:r>
      <w:r w:rsidRPr="000C5E55">
        <w:rPr>
          <w:rFonts w:hint="cs"/>
          <w:rtl/>
        </w:rPr>
        <w:t xml:space="preserve"> לחופה". המצב המלכותי של החתן והכלה, בעמדם תחת החופה, משתמר מתוך הודיה תמידית לה'</w:t>
      </w:r>
      <w:r w:rsidRPr="008636EE">
        <w:rPr>
          <w:rStyle w:val="a3"/>
          <w:rtl/>
        </w:rPr>
        <w:endnoteReference w:id="37"/>
      </w:r>
      <w:r w:rsidRPr="000C5E55">
        <w:rPr>
          <w:rFonts w:hint="cs"/>
          <w:rtl/>
        </w:rPr>
        <w:t xml:space="preserve"> </w:t>
      </w:r>
      <w:r w:rsidRPr="000C5E55">
        <w:rPr>
          <w:rtl/>
        </w:rPr>
        <w:t>–</w:t>
      </w:r>
      <w:r w:rsidRPr="000C5E55">
        <w:rPr>
          <w:rFonts w:hint="cs"/>
          <w:rtl/>
        </w:rPr>
        <w:t xml:space="preserve"> "</w:t>
      </w:r>
      <w:r w:rsidRPr="000C5E55">
        <w:rPr>
          <w:rFonts w:hint="cs"/>
          <w:b/>
          <w:bCs/>
          <w:sz w:val="28"/>
          <w:szCs w:val="28"/>
          <w:rtl/>
        </w:rPr>
        <w:t>חי</w:t>
      </w:r>
      <w:r w:rsidRPr="000C5E55">
        <w:rPr>
          <w:rFonts w:hint="cs"/>
          <w:rtl/>
        </w:rPr>
        <w:t xml:space="preserve"> </w:t>
      </w:r>
      <w:proofErr w:type="spellStart"/>
      <w:r w:rsidRPr="000C5E55">
        <w:rPr>
          <w:rFonts w:hint="cs"/>
          <w:b/>
          <w:bCs/>
          <w:sz w:val="28"/>
          <w:szCs w:val="28"/>
          <w:rtl/>
        </w:rPr>
        <w:t>חי</w:t>
      </w:r>
      <w:proofErr w:type="spellEnd"/>
      <w:r w:rsidRPr="000C5E55">
        <w:rPr>
          <w:rFonts w:hint="cs"/>
          <w:rtl/>
        </w:rPr>
        <w:t xml:space="preserve"> הוא </w:t>
      </w:r>
      <w:proofErr w:type="spellStart"/>
      <w:r w:rsidRPr="000C5E55">
        <w:rPr>
          <w:rFonts w:hint="cs"/>
          <w:rtl/>
        </w:rPr>
        <w:t>יודך</w:t>
      </w:r>
      <w:proofErr w:type="spellEnd"/>
      <w:r w:rsidRPr="000C5E55">
        <w:rPr>
          <w:rFonts w:hint="cs"/>
          <w:rtl/>
        </w:rPr>
        <w:t xml:space="preserve"> כמוני היום"</w:t>
      </w:r>
      <w:r w:rsidRPr="008636EE">
        <w:rPr>
          <w:rStyle w:val="a3"/>
          <w:rtl/>
        </w:rPr>
        <w:endnoteReference w:id="38"/>
      </w:r>
      <w:r w:rsidRPr="000C5E55">
        <w:rPr>
          <w:rFonts w:hint="cs"/>
          <w:rtl/>
        </w:rPr>
        <w:t xml:space="preserve">. ועוד, כאשר מחשבים </w:t>
      </w:r>
      <w:r w:rsidRPr="000C5E55">
        <w:rPr>
          <w:rFonts w:hint="cs"/>
          <w:b/>
          <w:bCs/>
          <w:sz w:val="28"/>
          <w:szCs w:val="28"/>
          <w:rtl/>
        </w:rPr>
        <w:t>מלך</w:t>
      </w:r>
      <w:r w:rsidRPr="000C5E55">
        <w:rPr>
          <w:rFonts w:hint="cs"/>
          <w:rtl/>
        </w:rPr>
        <w:t>-</w:t>
      </w:r>
      <w:r w:rsidRPr="000C5E55">
        <w:rPr>
          <w:rFonts w:hint="cs"/>
          <w:b/>
          <w:bCs/>
          <w:sz w:val="28"/>
          <w:szCs w:val="28"/>
          <w:rtl/>
        </w:rPr>
        <w:t>מלכה</w:t>
      </w:r>
      <w:r w:rsidRPr="000C5E55">
        <w:rPr>
          <w:rFonts w:hint="cs"/>
          <w:rtl/>
        </w:rPr>
        <w:t xml:space="preserve"> במספר קדמי הערך הממוצע של כל אות הוא </w:t>
      </w:r>
      <w:r w:rsidRPr="000C5E55">
        <w:rPr>
          <w:rFonts w:hint="cs"/>
          <w:b/>
          <w:bCs/>
          <w:sz w:val="28"/>
          <w:szCs w:val="28"/>
          <w:rtl/>
        </w:rPr>
        <w:t>מלכה</w:t>
      </w:r>
      <w:r w:rsidRPr="000C5E55">
        <w:rPr>
          <w:rFonts w:hint="cs"/>
          <w:rtl/>
        </w:rPr>
        <w:t xml:space="preserve">, רמז </w:t>
      </w:r>
      <w:proofErr w:type="spellStart"/>
      <w:r w:rsidRPr="000C5E55">
        <w:rPr>
          <w:rFonts w:hint="cs"/>
          <w:rtl/>
        </w:rPr>
        <w:t>ל'ווארט</w:t>
      </w:r>
      <w:proofErr w:type="spellEnd"/>
      <w:r w:rsidRPr="000C5E55">
        <w:rPr>
          <w:rFonts w:hint="cs"/>
          <w:rtl/>
        </w:rPr>
        <w:t xml:space="preserve">' העממי כי החתן נשאר "דומה למלך" כל עוד הוא מקפיד להתייחס אל אשתו כמלכה (ו"הכל מן </w:t>
      </w:r>
      <w:proofErr w:type="spellStart"/>
      <w:r w:rsidRPr="000C5E55">
        <w:rPr>
          <w:rFonts w:hint="cs"/>
          <w:rtl/>
        </w:rPr>
        <w:t>האשה</w:t>
      </w:r>
      <w:proofErr w:type="spellEnd"/>
      <w:r w:rsidRPr="000C5E55">
        <w:rPr>
          <w:rFonts w:hint="cs"/>
          <w:rtl/>
        </w:rPr>
        <w:t>"</w:t>
      </w:r>
      <w:r w:rsidRPr="008636EE">
        <w:rPr>
          <w:rStyle w:val="a3"/>
          <w:rtl/>
        </w:rPr>
        <w:endnoteReference w:id="39"/>
      </w:r>
      <w:r w:rsidRPr="000C5E55">
        <w:rPr>
          <w:rFonts w:hint="cs"/>
          <w:rtl/>
        </w:rPr>
        <w:t>).</w:t>
      </w:r>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05D" w:rsidRDefault="00E5605D" w:rsidP="00191ACB">
      <w:pPr>
        <w:spacing w:after="0" w:line="240" w:lineRule="auto"/>
      </w:pPr>
      <w:r>
        <w:separator/>
      </w:r>
    </w:p>
  </w:endnote>
  <w:endnote w:type="continuationSeparator" w:id="0">
    <w:p w:rsidR="00E5605D" w:rsidRDefault="00E5605D" w:rsidP="00191ACB">
      <w:pPr>
        <w:spacing w:after="0" w:line="240" w:lineRule="auto"/>
      </w:pPr>
      <w:r>
        <w:continuationSeparator/>
      </w:r>
    </w:p>
  </w:endnote>
  <w:endnote w:id="1">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פרקי דרבי אליעזר </w:t>
      </w:r>
      <w:proofErr w:type="spellStart"/>
      <w:r>
        <w:rPr>
          <w:rFonts w:hint="cs"/>
          <w:rtl/>
        </w:rPr>
        <w:t>פט"ז</w:t>
      </w:r>
      <w:proofErr w:type="spellEnd"/>
      <w:r>
        <w:rPr>
          <w:rFonts w:hint="cs"/>
          <w:rtl/>
        </w:rPr>
        <w:t>.</w:t>
      </w:r>
    </w:p>
  </w:endnote>
  <w:endnote w:id="2">
    <w:p w:rsidR="00191ACB" w:rsidRDefault="00191ACB" w:rsidP="00191ACB">
      <w:pPr>
        <w:pStyle w:val="a5"/>
        <w:rPr>
          <w:rFonts w:hint="cs"/>
          <w:rtl/>
        </w:rPr>
      </w:pPr>
      <w:r>
        <w:rPr>
          <w:rtl/>
        </w:rPr>
        <w:tab/>
      </w:r>
      <w:r w:rsidRPr="00944A81">
        <w:rPr>
          <w:rtl/>
        </w:rPr>
        <w:endnoteRef/>
      </w:r>
      <w:r>
        <w:rPr>
          <w:rtl/>
        </w:rPr>
        <w:t>.</w:t>
      </w:r>
      <w:r>
        <w:rPr>
          <w:rtl/>
        </w:rPr>
        <w:tab/>
      </w:r>
      <w:r>
        <w:rPr>
          <w:rFonts w:hint="cs"/>
          <w:rtl/>
        </w:rPr>
        <w:t>ראה ד"ה "לכה דודי" תרפ"ט.</w:t>
      </w:r>
    </w:p>
  </w:endnote>
  <w:endnote w:id="3">
    <w:p w:rsidR="00191ACB" w:rsidRDefault="00191ACB" w:rsidP="00191ACB">
      <w:pPr>
        <w:pStyle w:val="a5"/>
        <w:rPr>
          <w:rFonts w:hint="cs"/>
          <w:rtl/>
        </w:rPr>
      </w:pPr>
      <w:r>
        <w:rPr>
          <w:rtl/>
        </w:rPr>
        <w:tab/>
      </w:r>
      <w:r w:rsidRPr="00944A81">
        <w:rPr>
          <w:rtl/>
        </w:rPr>
        <w:endnoteRef/>
      </w:r>
      <w:r>
        <w:rPr>
          <w:rtl/>
        </w:rPr>
        <w:t>.</w:t>
      </w:r>
      <w:r>
        <w:rPr>
          <w:rtl/>
        </w:rPr>
        <w:tab/>
      </w:r>
      <w:r>
        <w:rPr>
          <w:rFonts w:hint="cs"/>
          <w:rtl/>
        </w:rPr>
        <w:t>קהלת ח, ד.</w:t>
      </w:r>
    </w:p>
  </w:endnote>
  <w:endnote w:id="4">
    <w:p w:rsidR="00191ACB" w:rsidRPr="00805E92" w:rsidRDefault="00191ACB" w:rsidP="00191ACB">
      <w:pPr>
        <w:pStyle w:val="a5"/>
        <w:rPr>
          <w:rStyle w:val="a9"/>
          <w:rFonts w:hint="cs"/>
          <w:rtl/>
        </w:rPr>
      </w:pPr>
      <w:r>
        <w:rPr>
          <w:rtl/>
        </w:rPr>
        <w:tab/>
      </w:r>
      <w:r w:rsidRPr="00944A81">
        <w:rPr>
          <w:rtl/>
        </w:rPr>
        <w:endnoteRef/>
      </w:r>
      <w:r>
        <w:rPr>
          <w:rtl/>
        </w:rPr>
        <w:t>.</w:t>
      </w:r>
      <w:r>
        <w:rPr>
          <w:rtl/>
        </w:rPr>
        <w:tab/>
      </w:r>
      <w:r>
        <w:rPr>
          <w:rFonts w:hint="cs"/>
          <w:rtl/>
        </w:rPr>
        <w:t xml:space="preserve">פרקי דרבי אליעזר </w:t>
      </w:r>
      <w:proofErr w:type="spellStart"/>
      <w:r>
        <w:rPr>
          <w:rFonts w:hint="cs"/>
          <w:rtl/>
        </w:rPr>
        <w:t>פמ"ט</w:t>
      </w:r>
      <w:proofErr w:type="spellEnd"/>
      <w:r>
        <w:rPr>
          <w:rFonts w:hint="cs"/>
          <w:rtl/>
        </w:rPr>
        <w:t>.</w:t>
      </w:r>
    </w:p>
  </w:endnote>
  <w:endnote w:id="5">
    <w:p w:rsidR="00191ACB" w:rsidRDefault="00191ACB" w:rsidP="00191ACB">
      <w:pPr>
        <w:pStyle w:val="a5"/>
        <w:rPr>
          <w:rFonts w:hint="cs"/>
        </w:rPr>
      </w:pPr>
      <w:r>
        <w:rPr>
          <w:rtl/>
        </w:rPr>
        <w:tab/>
      </w:r>
      <w:r w:rsidRPr="00944A81">
        <w:rPr>
          <w:rtl/>
        </w:rPr>
        <w:endnoteRef/>
      </w:r>
      <w:r>
        <w:rPr>
          <w:rtl/>
        </w:rPr>
        <w:t>.</w:t>
      </w:r>
      <w:r>
        <w:rPr>
          <w:rtl/>
        </w:rPr>
        <w:tab/>
      </w:r>
      <w:r>
        <w:rPr>
          <w:rFonts w:hint="cs"/>
          <w:rtl/>
        </w:rPr>
        <w:t>כנ"ל בתורות הקודמות.</w:t>
      </w:r>
    </w:p>
  </w:endnote>
  <w:endnote w:id="6">
    <w:p w:rsidR="00191ACB" w:rsidRDefault="00191ACB" w:rsidP="00191ACB">
      <w:pPr>
        <w:pStyle w:val="a5"/>
        <w:rPr>
          <w:rFonts w:hint="cs"/>
        </w:rPr>
      </w:pPr>
      <w:r>
        <w:rPr>
          <w:rtl/>
        </w:rPr>
        <w:tab/>
      </w:r>
      <w:r w:rsidRPr="00944A81">
        <w:rPr>
          <w:rtl/>
        </w:rPr>
        <w:endnoteRef/>
      </w:r>
      <w:r>
        <w:rPr>
          <w:rtl/>
        </w:rPr>
        <w:t>.</w:t>
      </w:r>
      <w:r>
        <w:rPr>
          <w:rtl/>
        </w:rPr>
        <w:tab/>
      </w:r>
      <w:r>
        <w:rPr>
          <w:rFonts w:hint="cs"/>
          <w:rtl/>
        </w:rPr>
        <w:t xml:space="preserve">בראשית א, </w:t>
      </w:r>
      <w:proofErr w:type="spellStart"/>
      <w:r>
        <w:rPr>
          <w:rFonts w:hint="cs"/>
          <w:rtl/>
        </w:rPr>
        <w:t>יח</w:t>
      </w:r>
      <w:proofErr w:type="spellEnd"/>
      <w:r>
        <w:rPr>
          <w:rFonts w:hint="cs"/>
          <w:rtl/>
        </w:rPr>
        <w:t>.</w:t>
      </w:r>
    </w:p>
  </w:endnote>
  <w:endnote w:id="7">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וראה גם שער ג בתורה "חתן וכלה בסוד </w:t>
      </w:r>
      <w:proofErr w:type="spellStart"/>
      <w:r>
        <w:rPr>
          <w:rFonts w:hint="cs"/>
          <w:rtl/>
        </w:rPr>
        <w:t>הדצח"מ</w:t>
      </w:r>
      <w:proofErr w:type="spellEnd"/>
      <w:r>
        <w:rPr>
          <w:rFonts w:hint="cs"/>
          <w:rtl/>
        </w:rPr>
        <w:t>".</w:t>
      </w:r>
    </w:p>
  </w:endnote>
  <w:endnote w:id="8">
    <w:p w:rsidR="00191ACB" w:rsidRDefault="00191ACB" w:rsidP="00191ACB">
      <w:pPr>
        <w:pStyle w:val="a5"/>
        <w:rPr>
          <w:rFonts w:hint="cs"/>
        </w:rPr>
      </w:pPr>
      <w:r>
        <w:rPr>
          <w:rtl/>
        </w:rPr>
        <w:tab/>
      </w:r>
      <w:r w:rsidRPr="00944A81">
        <w:rPr>
          <w:rtl/>
        </w:rPr>
        <w:endnoteRef/>
      </w:r>
      <w:r>
        <w:rPr>
          <w:rtl/>
        </w:rPr>
        <w:t>.</w:t>
      </w:r>
      <w:r>
        <w:rPr>
          <w:rtl/>
        </w:rPr>
        <w:tab/>
      </w:r>
      <w:r>
        <w:rPr>
          <w:rFonts w:hint="cs"/>
          <w:rtl/>
        </w:rPr>
        <w:t>ראה גם לעיל בתורה "וידם השמש וירח עמד".</w:t>
      </w:r>
    </w:p>
  </w:endnote>
  <w:endnote w:id="9">
    <w:p w:rsidR="00191ACB" w:rsidRDefault="00191ACB" w:rsidP="00191ACB">
      <w:pPr>
        <w:pStyle w:val="a5"/>
        <w:rPr>
          <w:rFonts w:hint="cs"/>
          <w:rtl/>
        </w:rPr>
      </w:pPr>
      <w:r>
        <w:rPr>
          <w:rtl/>
        </w:rPr>
        <w:tab/>
      </w:r>
      <w:r w:rsidRPr="00944A81">
        <w:rPr>
          <w:rtl/>
        </w:rPr>
        <w:endnoteRef/>
      </w:r>
      <w:r>
        <w:rPr>
          <w:rtl/>
        </w:rPr>
        <w:t>.</w:t>
      </w:r>
      <w:r>
        <w:rPr>
          <w:rtl/>
        </w:rPr>
        <w:tab/>
      </w:r>
      <w:proofErr w:type="spellStart"/>
      <w:r>
        <w:rPr>
          <w:rFonts w:hint="cs"/>
          <w:rtl/>
        </w:rPr>
        <w:t>תנחומא</w:t>
      </w:r>
      <w:proofErr w:type="spellEnd"/>
      <w:r>
        <w:rPr>
          <w:rFonts w:hint="cs"/>
          <w:rtl/>
        </w:rPr>
        <w:t xml:space="preserve"> נשא </w:t>
      </w:r>
      <w:proofErr w:type="spellStart"/>
      <w:r>
        <w:rPr>
          <w:rFonts w:hint="cs"/>
          <w:rtl/>
        </w:rPr>
        <w:t>טז</w:t>
      </w:r>
      <w:proofErr w:type="spellEnd"/>
      <w:r>
        <w:rPr>
          <w:rFonts w:hint="cs"/>
          <w:rtl/>
        </w:rPr>
        <w:t>.</w:t>
      </w:r>
    </w:p>
  </w:endnote>
  <w:endnote w:id="10">
    <w:p w:rsidR="00191ACB" w:rsidRDefault="00191ACB" w:rsidP="00191ACB">
      <w:pPr>
        <w:pStyle w:val="a5"/>
        <w:rPr>
          <w:rFonts w:hint="cs"/>
        </w:rPr>
      </w:pPr>
      <w:r>
        <w:rPr>
          <w:rtl/>
        </w:rPr>
        <w:tab/>
      </w:r>
      <w:r w:rsidRPr="00944A81">
        <w:rPr>
          <w:rtl/>
        </w:rPr>
        <w:endnoteRef/>
      </w:r>
      <w:r>
        <w:rPr>
          <w:rtl/>
        </w:rPr>
        <w:t>.</w:t>
      </w:r>
      <w:r>
        <w:rPr>
          <w:rtl/>
        </w:rPr>
        <w:tab/>
      </w:r>
      <w:r>
        <w:rPr>
          <w:rFonts w:hint="cs"/>
          <w:rtl/>
        </w:rPr>
        <w:t xml:space="preserve">סוטה </w:t>
      </w:r>
      <w:proofErr w:type="spellStart"/>
      <w:r>
        <w:rPr>
          <w:rFonts w:hint="cs"/>
          <w:rtl/>
        </w:rPr>
        <w:t>יז</w:t>
      </w:r>
      <w:proofErr w:type="spellEnd"/>
      <w:r>
        <w:rPr>
          <w:rFonts w:hint="cs"/>
          <w:rtl/>
        </w:rPr>
        <w:t>, א.</w:t>
      </w:r>
    </w:p>
  </w:endnote>
  <w:endnote w:id="11">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עפ"י זהר ח"א ד, א (וראה יהל אור לתהלים קו, </w:t>
      </w:r>
      <w:proofErr w:type="spellStart"/>
      <w:r>
        <w:rPr>
          <w:rFonts w:hint="cs"/>
          <w:rtl/>
        </w:rPr>
        <w:t>כג</w:t>
      </w:r>
      <w:proofErr w:type="spellEnd"/>
      <w:r>
        <w:rPr>
          <w:rFonts w:hint="cs"/>
          <w:rtl/>
        </w:rPr>
        <w:t xml:space="preserve">; </w:t>
      </w:r>
      <w:proofErr w:type="spellStart"/>
      <w:r>
        <w:rPr>
          <w:rFonts w:hint="cs"/>
          <w:rtl/>
        </w:rPr>
        <w:t>אוה"ת</w:t>
      </w:r>
      <w:proofErr w:type="spellEnd"/>
      <w:r>
        <w:rPr>
          <w:rFonts w:hint="cs"/>
          <w:rtl/>
        </w:rPr>
        <w:t xml:space="preserve"> במדבר ד עמ' </w:t>
      </w:r>
      <w:proofErr w:type="spellStart"/>
      <w:r>
        <w:rPr>
          <w:rFonts w:hint="cs"/>
          <w:rtl/>
        </w:rPr>
        <w:t>א'שפד</w:t>
      </w:r>
      <w:proofErr w:type="spellEnd"/>
      <w:r>
        <w:rPr>
          <w:rFonts w:hint="cs"/>
          <w:rtl/>
        </w:rPr>
        <w:t>; מאמר "</w:t>
      </w:r>
      <w:proofErr w:type="spellStart"/>
      <w:r>
        <w:rPr>
          <w:rFonts w:hint="cs"/>
          <w:rtl/>
        </w:rPr>
        <w:t>ויבז</w:t>
      </w:r>
      <w:proofErr w:type="spellEnd"/>
      <w:r>
        <w:rPr>
          <w:rFonts w:hint="cs"/>
          <w:rtl/>
        </w:rPr>
        <w:t xml:space="preserve"> בעיניו" תרכ"ט; תשובת השנה עמ' </w:t>
      </w:r>
      <w:proofErr w:type="spellStart"/>
      <w:r>
        <w:rPr>
          <w:rFonts w:hint="cs"/>
          <w:rtl/>
        </w:rPr>
        <w:t>יט</w:t>
      </w:r>
      <w:proofErr w:type="spellEnd"/>
      <w:r>
        <w:rPr>
          <w:rFonts w:hint="cs"/>
          <w:rtl/>
        </w:rPr>
        <w:t xml:space="preserve">; פנים אל פנים עמ' </w:t>
      </w:r>
      <w:proofErr w:type="spellStart"/>
      <w:r>
        <w:rPr>
          <w:rFonts w:hint="cs"/>
          <w:rtl/>
        </w:rPr>
        <w:t>רנח</w:t>
      </w:r>
      <w:proofErr w:type="spellEnd"/>
      <w:r>
        <w:rPr>
          <w:rFonts w:hint="cs"/>
          <w:rtl/>
        </w:rPr>
        <w:t xml:space="preserve"> </w:t>
      </w:r>
      <w:r>
        <w:rPr>
          <w:rtl/>
        </w:rPr>
        <w:t>–</w:t>
      </w:r>
      <w:r>
        <w:rPr>
          <w:rFonts w:hint="cs"/>
          <w:rtl/>
        </w:rPr>
        <w:t xml:space="preserve"> כי מדובר בשתי מדרגות שונות).</w:t>
      </w:r>
    </w:p>
  </w:endnote>
  <w:endnote w:id="12">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וראה גם בסוד הנשים שנקראו תמר במאמר "זאת קומתך דמתה לתמר" במלכות ישראל </w:t>
      </w:r>
      <w:proofErr w:type="spellStart"/>
      <w:r>
        <w:rPr>
          <w:rFonts w:hint="cs"/>
          <w:rtl/>
        </w:rPr>
        <w:t>ח"ב</w:t>
      </w:r>
      <w:proofErr w:type="spellEnd"/>
      <w:r>
        <w:rPr>
          <w:rFonts w:hint="cs"/>
          <w:rtl/>
        </w:rPr>
        <w:t xml:space="preserve"> עמ' </w:t>
      </w:r>
      <w:proofErr w:type="spellStart"/>
      <w:r>
        <w:rPr>
          <w:rFonts w:hint="cs"/>
          <w:rtl/>
        </w:rPr>
        <w:t>קפג</w:t>
      </w:r>
      <w:proofErr w:type="spellEnd"/>
      <w:r>
        <w:rPr>
          <w:rFonts w:hint="cs"/>
          <w:rtl/>
        </w:rPr>
        <w:t xml:space="preserve"> ואילך.</w:t>
      </w:r>
    </w:p>
  </w:endnote>
  <w:endnote w:id="13">
    <w:p w:rsidR="00191ACB" w:rsidRDefault="00191ACB" w:rsidP="00191ACB">
      <w:pPr>
        <w:pStyle w:val="a5"/>
        <w:rPr>
          <w:rFonts w:hint="cs"/>
        </w:rPr>
      </w:pPr>
      <w:r>
        <w:rPr>
          <w:rtl/>
        </w:rPr>
        <w:tab/>
      </w:r>
      <w:r w:rsidRPr="00944A81">
        <w:rPr>
          <w:rtl/>
        </w:rPr>
        <w:endnoteRef/>
      </w:r>
      <w:r>
        <w:rPr>
          <w:rtl/>
        </w:rPr>
        <w:t>.</w:t>
      </w:r>
      <w:r>
        <w:rPr>
          <w:rtl/>
        </w:rPr>
        <w:tab/>
      </w:r>
      <w:r>
        <w:rPr>
          <w:rFonts w:hint="cs"/>
          <w:rtl/>
        </w:rPr>
        <w:t>דברים ח, ח.</w:t>
      </w:r>
    </w:p>
  </w:endnote>
  <w:endnote w:id="14">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ראה בראשית רבה </w:t>
      </w:r>
      <w:proofErr w:type="spellStart"/>
      <w:r>
        <w:rPr>
          <w:rFonts w:hint="cs"/>
          <w:rtl/>
        </w:rPr>
        <w:t>מא</w:t>
      </w:r>
      <w:proofErr w:type="spellEnd"/>
      <w:r>
        <w:rPr>
          <w:rFonts w:hint="cs"/>
          <w:rtl/>
        </w:rPr>
        <w:t xml:space="preserve">, ז (ונתבאר </w:t>
      </w:r>
      <w:proofErr w:type="spellStart"/>
      <w:r>
        <w:rPr>
          <w:rFonts w:hint="cs"/>
          <w:rtl/>
        </w:rPr>
        <w:t>בסה"מ</w:t>
      </w:r>
      <w:proofErr w:type="spellEnd"/>
      <w:r>
        <w:rPr>
          <w:rFonts w:hint="cs"/>
          <w:rtl/>
        </w:rPr>
        <w:t xml:space="preserve"> תרל"ב ח"א עמ' רכז). פלח הרמון ויקרא פרשת </w:t>
      </w:r>
      <w:proofErr w:type="spellStart"/>
      <w:r>
        <w:rPr>
          <w:rFonts w:hint="cs"/>
          <w:rtl/>
        </w:rPr>
        <w:t>בחקתי</w:t>
      </w:r>
      <w:proofErr w:type="spellEnd"/>
      <w:r>
        <w:rPr>
          <w:rFonts w:hint="cs"/>
          <w:rtl/>
        </w:rPr>
        <w:t xml:space="preserve"> ד"ה "</w:t>
      </w:r>
      <w:proofErr w:type="spellStart"/>
      <w:r>
        <w:rPr>
          <w:rFonts w:hint="cs"/>
          <w:rtl/>
        </w:rPr>
        <w:t>רפאתי</w:t>
      </w:r>
      <w:proofErr w:type="spellEnd"/>
      <w:r>
        <w:rPr>
          <w:rFonts w:hint="cs"/>
          <w:rtl/>
        </w:rPr>
        <w:t xml:space="preserve"> הוי'" (וראה גם </w:t>
      </w:r>
      <w:proofErr w:type="spellStart"/>
      <w:r>
        <w:rPr>
          <w:rFonts w:hint="cs"/>
          <w:rtl/>
        </w:rPr>
        <w:t>לקו"מ</w:t>
      </w:r>
      <w:proofErr w:type="spellEnd"/>
      <w:r>
        <w:rPr>
          <w:rFonts w:hint="cs"/>
          <w:rtl/>
        </w:rPr>
        <w:t xml:space="preserve"> נ).</w:t>
      </w:r>
    </w:p>
  </w:endnote>
  <w:endnote w:id="15">
    <w:p w:rsidR="00191ACB" w:rsidRDefault="00191ACB" w:rsidP="00191ACB">
      <w:pPr>
        <w:pStyle w:val="a5"/>
        <w:rPr>
          <w:rFonts w:hint="cs"/>
        </w:rPr>
      </w:pPr>
      <w:r>
        <w:rPr>
          <w:rtl/>
        </w:rPr>
        <w:tab/>
      </w:r>
      <w:r w:rsidRPr="00944A81">
        <w:rPr>
          <w:rtl/>
        </w:rPr>
        <w:endnoteRef/>
      </w:r>
      <w:r>
        <w:rPr>
          <w:rtl/>
        </w:rPr>
        <w:t>.</w:t>
      </w:r>
      <w:r>
        <w:rPr>
          <w:rtl/>
        </w:rPr>
        <w:tab/>
      </w:r>
      <w:r>
        <w:rPr>
          <w:rFonts w:hint="cs"/>
          <w:rtl/>
        </w:rPr>
        <w:t xml:space="preserve">ראה באורך שכינה ביניהם פרק ה(עמ' </w:t>
      </w:r>
      <w:proofErr w:type="spellStart"/>
      <w:r>
        <w:rPr>
          <w:rFonts w:hint="cs"/>
          <w:rtl/>
        </w:rPr>
        <w:t>קמז</w:t>
      </w:r>
      <w:proofErr w:type="spellEnd"/>
      <w:r>
        <w:rPr>
          <w:rFonts w:hint="cs"/>
          <w:rtl/>
        </w:rPr>
        <w:t>).</w:t>
      </w:r>
    </w:p>
  </w:endnote>
  <w:endnote w:id="16">
    <w:p w:rsidR="00191ACB" w:rsidRDefault="00191ACB" w:rsidP="00191ACB">
      <w:pPr>
        <w:pStyle w:val="a5"/>
        <w:rPr>
          <w:rFonts w:hint="cs"/>
          <w:rtl/>
        </w:rPr>
      </w:pPr>
      <w:r>
        <w:rPr>
          <w:rtl/>
        </w:rPr>
        <w:tab/>
      </w:r>
      <w:r w:rsidRPr="00944A81">
        <w:rPr>
          <w:rtl/>
        </w:rPr>
        <w:endnoteRef/>
      </w:r>
      <w:r>
        <w:rPr>
          <w:rtl/>
        </w:rPr>
        <w:t>.</w:t>
      </w:r>
      <w:r>
        <w:rPr>
          <w:rtl/>
        </w:rPr>
        <w:tab/>
      </w:r>
      <w:r>
        <w:rPr>
          <w:rFonts w:hint="cs"/>
          <w:rtl/>
        </w:rPr>
        <w:t>סנהדרין קו, א.</w:t>
      </w:r>
    </w:p>
  </w:endnote>
  <w:endnote w:id="17">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ראה </w:t>
      </w:r>
      <w:r w:rsidRPr="000167E2">
        <w:rPr>
          <w:rtl/>
        </w:rPr>
        <w:t>ע"ח שער לט דרוש ד (ובכ"ד).</w:t>
      </w:r>
    </w:p>
  </w:endnote>
  <w:endnote w:id="18">
    <w:p w:rsidR="00191ACB" w:rsidRPr="00BA4B61" w:rsidRDefault="00191ACB" w:rsidP="00191ACB">
      <w:pPr>
        <w:pStyle w:val="a5"/>
        <w:rPr>
          <w:rFonts w:hint="cs"/>
        </w:rPr>
      </w:pPr>
      <w:r>
        <w:rPr>
          <w:rtl/>
        </w:rPr>
        <w:tab/>
      </w:r>
      <w:r w:rsidRPr="00944A81">
        <w:rPr>
          <w:rtl/>
        </w:rPr>
        <w:endnoteRef/>
      </w:r>
      <w:r>
        <w:rPr>
          <w:rtl/>
        </w:rPr>
        <w:t>.</w:t>
      </w:r>
      <w:r>
        <w:rPr>
          <w:rtl/>
        </w:rPr>
        <w:tab/>
      </w:r>
      <w:r>
        <w:rPr>
          <w:rFonts w:hint="cs"/>
          <w:rtl/>
        </w:rPr>
        <w:t xml:space="preserve">ראה תניא </w:t>
      </w:r>
      <w:proofErr w:type="spellStart"/>
      <w:r>
        <w:rPr>
          <w:rFonts w:hint="cs"/>
          <w:rtl/>
        </w:rPr>
        <w:t>קו"א</w:t>
      </w:r>
      <w:proofErr w:type="spellEnd"/>
      <w:r>
        <w:rPr>
          <w:rFonts w:hint="cs"/>
          <w:rtl/>
        </w:rPr>
        <w:t xml:space="preserve"> ד.</w:t>
      </w:r>
    </w:p>
  </w:endnote>
  <w:endnote w:id="19">
    <w:p w:rsidR="00191ACB" w:rsidRDefault="00191ACB" w:rsidP="00191ACB">
      <w:pPr>
        <w:pStyle w:val="a5"/>
        <w:rPr>
          <w:rFonts w:hint="cs"/>
        </w:rPr>
      </w:pPr>
      <w:r>
        <w:rPr>
          <w:rtl/>
        </w:rPr>
        <w:tab/>
      </w:r>
      <w:r w:rsidRPr="00944A81">
        <w:rPr>
          <w:rtl/>
        </w:rPr>
        <w:endnoteRef/>
      </w:r>
      <w:r>
        <w:rPr>
          <w:rtl/>
        </w:rPr>
        <w:t>.</w:t>
      </w:r>
      <w:r>
        <w:rPr>
          <w:rtl/>
        </w:rPr>
        <w:tab/>
      </w:r>
      <w:r>
        <w:rPr>
          <w:rFonts w:hint="cs"/>
          <w:rtl/>
        </w:rPr>
        <w:t xml:space="preserve">ברכות </w:t>
      </w:r>
      <w:proofErr w:type="spellStart"/>
      <w:r>
        <w:rPr>
          <w:rFonts w:hint="cs"/>
          <w:rtl/>
        </w:rPr>
        <w:t>יז</w:t>
      </w:r>
      <w:proofErr w:type="spellEnd"/>
      <w:r>
        <w:rPr>
          <w:rFonts w:hint="cs"/>
          <w:rtl/>
        </w:rPr>
        <w:t>, א.</w:t>
      </w:r>
    </w:p>
  </w:endnote>
  <w:endnote w:id="20">
    <w:p w:rsidR="00191ACB" w:rsidRDefault="00191ACB" w:rsidP="00191ACB">
      <w:pPr>
        <w:pStyle w:val="a5"/>
        <w:rPr>
          <w:rFonts w:hint="cs"/>
        </w:rPr>
      </w:pPr>
      <w:r>
        <w:rPr>
          <w:rtl/>
        </w:rPr>
        <w:tab/>
      </w:r>
      <w:r w:rsidRPr="00944A81">
        <w:rPr>
          <w:rtl/>
        </w:rPr>
        <w:endnoteRef/>
      </w:r>
      <w:r>
        <w:rPr>
          <w:rtl/>
        </w:rPr>
        <w:t>.</w:t>
      </w:r>
      <w:r>
        <w:rPr>
          <w:rtl/>
        </w:rPr>
        <w:tab/>
      </w:r>
      <w:r>
        <w:rPr>
          <w:rFonts w:hint="cs"/>
          <w:rtl/>
        </w:rPr>
        <w:t xml:space="preserve">ראה פסחים עב, ב וע"ז ה, א </w:t>
      </w:r>
      <w:proofErr w:type="spellStart"/>
      <w:r>
        <w:rPr>
          <w:rFonts w:hint="cs"/>
          <w:rtl/>
        </w:rPr>
        <w:t>בענין</w:t>
      </w:r>
      <w:proofErr w:type="spellEnd"/>
      <w:r>
        <w:rPr>
          <w:rFonts w:hint="cs"/>
          <w:rtl/>
        </w:rPr>
        <w:t xml:space="preserve"> "שמחת עונה" גם כשאין פריה ורביה.</w:t>
      </w:r>
    </w:p>
  </w:endnote>
  <w:endnote w:id="21">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שה"ש א, ב </w:t>
      </w:r>
      <w:r>
        <w:rPr>
          <w:rtl/>
        </w:rPr>
        <w:t>–</w:t>
      </w:r>
      <w:r>
        <w:rPr>
          <w:rFonts w:hint="cs"/>
          <w:rtl/>
        </w:rPr>
        <w:t xml:space="preserve"> וראה ברש"י על הפסוק.</w:t>
      </w:r>
    </w:p>
  </w:endnote>
  <w:endnote w:id="22">
    <w:p w:rsidR="00191ACB" w:rsidRDefault="00191ACB" w:rsidP="00191ACB">
      <w:pPr>
        <w:pStyle w:val="a5"/>
        <w:rPr>
          <w:rFonts w:hint="cs"/>
        </w:rPr>
      </w:pPr>
      <w:r>
        <w:rPr>
          <w:rtl/>
        </w:rPr>
        <w:tab/>
      </w:r>
      <w:r w:rsidRPr="00944A81">
        <w:rPr>
          <w:rtl/>
        </w:rPr>
        <w:endnoteRef/>
      </w:r>
      <w:r>
        <w:rPr>
          <w:rtl/>
        </w:rPr>
        <w:t>.</w:t>
      </w:r>
      <w:r>
        <w:rPr>
          <w:rtl/>
        </w:rPr>
        <w:tab/>
      </w:r>
      <w:r>
        <w:rPr>
          <w:rFonts w:hint="cs"/>
          <w:rtl/>
        </w:rPr>
        <w:t>כתר שם טוב אות א, ונתבאר באורך במאמר "עולמים עולים" בספר אדמה שמים ותהום, בהקדמת הספר אותיות לשון הקדש ועוד.</w:t>
      </w:r>
    </w:p>
  </w:endnote>
  <w:endnote w:id="23">
    <w:p w:rsidR="00191ACB" w:rsidRDefault="00191ACB" w:rsidP="00191ACB">
      <w:pPr>
        <w:pStyle w:val="a5"/>
        <w:rPr>
          <w:rFonts w:hint="cs"/>
          <w:rtl/>
        </w:rPr>
      </w:pPr>
      <w:r>
        <w:rPr>
          <w:rtl/>
        </w:rPr>
        <w:tab/>
      </w:r>
      <w:r w:rsidRPr="00944A81">
        <w:rPr>
          <w:rtl/>
        </w:rPr>
        <w:endnoteRef/>
      </w:r>
      <w:r>
        <w:rPr>
          <w:rtl/>
        </w:rPr>
        <w:t>.</w:t>
      </w:r>
      <w:r>
        <w:rPr>
          <w:rtl/>
        </w:rPr>
        <w:tab/>
      </w:r>
      <w:r>
        <w:rPr>
          <w:rFonts w:hint="cs"/>
          <w:rtl/>
        </w:rPr>
        <w:t>שיר השירים ז, ט.</w:t>
      </w:r>
    </w:p>
  </w:endnote>
  <w:endnote w:id="24">
    <w:p w:rsidR="00191ACB" w:rsidRDefault="00191ACB" w:rsidP="00191ACB">
      <w:pPr>
        <w:pStyle w:val="a5"/>
        <w:rPr>
          <w:rFonts w:hint="cs"/>
          <w:rtl/>
        </w:rPr>
      </w:pPr>
      <w:r>
        <w:rPr>
          <w:rtl/>
        </w:rPr>
        <w:tab/>
      </w:r>
      <w:r w:rsidRPr="00944A81">
        <w:rPr>
          <w:rtl/>
        </w:rPr>
        <w:endnoteRef/>
      </w:r>
      <w:r>
        <w:rPr>
          <w:rtl/>
        </w:rPr>
        <w:t>.</w:t>
      </w:r>
      <w:r>
        <w:rPr>
          <w:rtl/>
        </w:rPr>
        <w:tab/>
      </w:r>
      <w:r>
        <w:rPr>
          <w:rFonts w:hint="cs"/>
          <w:rtl/>
        </w:rPr>
        <w:t>כתובות מח, א.</w:t>
      </w:r>
    </w:p>
  </w:endnote>
  <w:endnote w:id="25">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שמות </w:t>
      </w:r>
      <w:proofErr w:type="spellStart"/>
      <w:r>
        <w:rPr>
          <w:rFonts w:hint="cs"/>
          <w:rtl/>
        </w:rPr>
        <w:t>יב</w:t>
      </w:r>
      <w:proofErr w:type="spellEnd"/>
      <w:r>
        <w:rPr>
          <w:rFonts w:hint="cs"/>
          <w:rtl/>
        </w:rPr>
        <w:t>, ב. וראה לעיל בתורה "לשמור על הירח המלא".</w:t>
      </w:r>
    </w:p>
  </w:endnote>
  <w:endnote w:id="26">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ראש השנה ג, א </w:t>
      </w:r>
      <w:proofErr w:type="spellStart"/>
      <w:r>
        <w:rPr>
          <w:rFonts w:hint="cs"/>
          <w:rtl/>
        </w:rPr>
        <w:t>וש"נ</w:t>
      </w:r>
      <w:proofErr w:type="spellEnd"/>
      <w:r>
        <w:rPr>
          <w:rFonts w:hint="cs"/>
          <w:rtl/>
        </w:rPr>
        <w:t>.</w:t>
      </w:r>
    </w:p>
  </w:endnote>
  <w:endnote w:id="27">
    <w:p w:rsidR="00191ACB" w:rsidRDefault="00191ACB" w:rsidP="00191ACB">
      <w:pPr>
        <w:pStyle w:val="a5"/>
        <w:rPr>
          <w:rFonts w:hint="cs"/>
        </w:rPr>
      </w:pPr>
      <w:r>
        <w:rPr>
          <w:rtl/>
        </w:rPr>
        <w:tab/>
      </w:r>
      <w:r w:rsidRPr="00944A81">
        <w:rPr>
          <w:rtl/>
        </w:rPr>
        <w:endnoteRef/>
      </w:r>
      <w:r>
        <w:rPr>
          <w:rtl/>
        </w:rPr>
        <w:t>.</w:t>
      </w:r>
      <w:r>
        <w:rPr>
          <w:rtl/>
        </w:rPr>
        <w:tab/>
      </w:r>
      <w:r>
        <w:rPr>
          <w:rFonts w:hint="cs"/>
          <w:rtl/>
        </w:rPr>
        <w:t>ראה ילקוט שמעוני ירמיה רמז רנט.</w:t>
      </w:r>
    </w:p>
  </w:endnote>
  <w:endnote w:id="28">
    <w:p w:rsidR="00191ACB" w:rsidRDefault="00191ACB" w:rsidP="00191ACB">
      <w:pPr>
        <w:pStyle w:val="a5"/>
        <w:rPr>
          <w:rFonts w:hint="cs"/>
        </w:rPr>
      </w:pPr>
      <w:r>
        <w:rPr>
          <w:rtl/>
        </w:rPr>
        <w:tab/>
      </w:r>
      <w:r w:rsidRPr="00944A81">
        <w:rPr>
          <w:rtl/>
        </w:rPr>
        <w:endnoteRef/>
      </w:r>
      <w:r>
        <w:rPr>
          <w:rtl/>
        </w:rPr>
        <w:t>.</w:t>
      </w:r>
      <w:r>
        <w:rPr>
          <w:rtl/>
        </w:rPr>
        <w:tab/>
      </w:r>
      <w:r>
        <w:rPr>
          <w:rFonts w:hint="cs"/>
          <w:rtl/>
        </w:rPr>
        <w:t>ראה עמוס ג, ח.</w:t>
      </w:r>
    </w:p>
  </w:endnote>
  <w:endnote w:id="29">
    <w:p w:rsidR="00191ACB" w:rsidRDefault="00191ACB" w:rsidP="00191ACB">
      <w:pPr>
        <w:pStyle w:val="a5"/>
        <w:rPr>
          <w:rFonts w:hint="cs"/>
          <w:rtl/>
        </w:rPr>
      </w:pPr>
      <w:r>
        <w:rPr>
          <w:rtl/>
        </w:rPr>
        <w:tab/>
      </w:r>
      <w:r w:rsidRPr="00944A81">
        <w:rPr>
          <w:rtl/>
        </w:rPr>
        <w:endnoteRef/>
      </w:r>
      <w:r>
        <w:rPr>
          <w:rtl/>
        </w:rPr>
        <w:t>.</w:t>
      </w:r>
      <w:r>
        <w:rPr>
          <w:rtl/>
        </w:rPr>
        <w:tab/>
      </w:r>
      <w:r>
        <w:rPr>
          <w:rFonts w:hint="cs"/>
          <w:rtl/>
        </w:rPr>
        <w:t>וראה גם מאמר "הימים הנוראים ועבודת התשובה" בספר תשובת השנה (עמ' צא).</w:t>
      </w:r>
    </w:p>
  </w:endnote>
  <w:endnote w:id="30">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וראה בשער א בתורה "אנה לידו ושמתי לך </w:t>
      </w:r>
      <w:r>
        <w:rPr>
          <w:rtl/>
        </w:rPr>
        <w:t>–</w:t>
      </w:r>
      <w:r>
        <w:rPr>
          <w:rFonts w:hint="cs"/>
          <w:rtl/>
        </w:rPr>
        <w:t xml:space="preserve"> תיקון האונאה".</w:t>
      </w:r>
    </w:p>
  </w:endnote>
  <w:endnote w:id="31">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בהקבלת השבטים לחדשים על פי סדר הנשיאים (שהוא סדר חנית הדגלים במדבר). ראה ביאור ספר יצירה שמופיע בליקוטי </w:t>
      </w:r>
      <w:proofErr w:type="spellStart"/>
      <w:r>
        <w:rPr>
          <w:rFonts w:hint="cs"/>
          <w:rtl/>
        </w:rPr>
        <w:t>הש"ס</w:t>
      </w:r>
      <w:proofErr w:type="spellEnd"/>
      <w:r>
        <w:rPr>
          <w:rFonts w:hint="cs"/>
          <w:rtl/>
        </w:rPr>
        <w:t xml:space="preserve"> ("סדר האלפא ביתא שבאצבעות").</w:t>
      </w:r>
    </w:p>
  </w:endnote>
  <w:endnote w:id="32">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מגילה </w:t>
      </w:r>
      <w:proofErr w:type="spellStart"/>
      <w:r>
        <w:rPr>
          <w:rFonts w:hint="cs"/>
          <w:rtl/>
        </w:rPr>
        <w:t>יג</w:t>
      </w:r>
      <w:proofErr w:type="spellEnd"/>
      <w:r>
        <w:rPr>
          <w:rFonts w:hint="cs"/>
          <w:rtl/>
        </w:rPr>
        <w:t>, א.</w:t>
      </w:r>
    </w:p>
  </w:endnote>
  <w:endnote w:id="33">
    <w:p w:rsidR="00191ACB" w:rsidRDefault="00191ACB" w:rsidP="00191ACB">
      <w:pPr>
        <w:pStyle w:val="a5"/>
        <w:rPr>
          <w:rFonts w:hint="cs"/>
        </w:rPr>
      </w:pPr>
      <w:r>
        <w:rPr>
          <w:rtl/>
        </w:rPr>
        <w:tab/>
      </w:r>
      <w:r w:rsidRPr="00944A81">
        <w:rPr>
          <w:rtl/>
        </w:rPr>
        <w:endnoteRef/>
      </w:r>
      <w:r>
        <w:rPr>
          <w:rtl/>
        </w:rPr>
        <w:t>.</w:t>
      </w:r>
      <w:r>
        <w:rPr>
          <w:rtl/>
        </w:rPr>
        <w:tab/>
      </w:r>
      <w:r>
        <w:rPr>
          <w:rFonts w:hint="cs"/>
          <w:rtl/>
        </w:rPr>
        <w:t>ספר יצירה פ"א מ"ז.</w:t>
      </w:r>
    </w:p>
  </w:endnote>
  <w:endnote w:id="34">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וראה לעיל בתורה "לשמור על הירח מלא" (וכן שם בהערה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Ref302005593 \h</w:instrText>
      </w:r>
      <w:r>
        <w:rPr>
          <w:rtl/>
        </w:rPr>
        <w:instrText xml:space="preserve"> </w:instrText>
      </w:r>
      <w:r>
        <w:rPr>
          <w:rtl/>
        </w:rPr>
        <w:fldChar w:fldCharType="separate"/>
      </w:r>
      <w:r>
        <w:rPr>
          <w:rtl/>
        </w:rPr>
        <w:t>כד</w:t>
      </w:r>
      <w:r>
        <w:rPr>
          <w:rtl/>
        </w:rPr>
        <w:fldChar w:fldCharType="end"/>
      </w:r>
      <w:r>
        <w:rPr>
          <w:rFonts w:hint="cs"/>
          <w:rtl/>
        </w:rPr>
        <w:t>).</w:t>
      </w:r>
    </w:p>
  </w:endnote>
  <w:endnote w:id="35">
    <w:p w:rsidR="00191ACB" w:rsidRDefault="00191ACB" w:rsidP="00191ACB">
      <w:pPr>
        <w:pStyle w:val="a5"/>
        <w:rPr>
          <w:rFonts w:hint="cs"/>
        </w:rPr>
      </w:pPr>
      <w:r>
        <w:rPr>
          <w:rtl/>
        </w:rPr>
        <w:tab/>
      </w:r>
      <w:r w:rsidRPr="00944A81">
        <w:rPr>
          <w:rtl/>
        </w:rPr>
        <w:endnoteRef/>
      </w:r>
      <w:r>
        <w:rPr>
          <w:rtl/>
        </w:rPr>
        <w:t>.</w:t>
      </w:r>
      <w:r>
        <w:rPr>
          <w:rtl/>
        </w:rPr>
        <w:tab/>
      </w:r>
      <w:r>
        <w:rPr>
          <w:rFonts w:hint="cs"/>
          <w:rtl/>
        </w:rPr>
        <w:t>דברים לג, יד. וראה לעיל בתורה "</w:t>
      </w:r>
      <w:proofErr w:type="spellStart"/>
      <w:r>
        <w:rPr>
          <w:rFonts w:hint="cs"/>
          <w:rtl/>
        </w:rPr>
        <w:t>אשה</w:t>
      </w:r>
      <w:proofErr w:type="spellEnd"/>
      <w:r>
        <w:rPr>
          <w:rFonts w:hint="cs"/>
          <w:rtl/>
        </w:rPr>
        <w:t xml:space="preserve"> חדשה".</w:t>
      </w:r>
    </w:p>
  </w:endnote>
  <w:endnote w:id="36">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ראה ספר החינוך מצוה תק"פ. </w:t>
      </w:r>
      <w:proofErr w:type="spellStart"/>
      <w:r>
        <w:rPr>
          <w:rFonts w:hint="cs"/>
          <w:rtl/>
        </w:rPr>
        <w:t>ריטב"א</w:t>
      </w:r>
      <w:proofErr w:type="spellEnd"/>
      <w:r>
        <w:rPr>
          <w:rFonts w:hint="cs"/>
          <w:rtl/>
        </w:rPr>
        <w:t xml:space="preserve"> וערוך לנר מכות </w:t>
      </w:r>
      <w:proofErr w:type="spellStart"/>
      <w:r>
        <w:rPr>
          <w:rFonts w:hint="cs"/>
          <w:rtl/>
        </w:rPr>
        <w:t>טז</w:t>
      </w:r>
      <w:proofErr w:type="spellEnd"/>
      <w:r>
        <w:rPr>
          <w:rFonts w:hint="cs"/>
          <w:rtl/>
        </w:rPr>
        <w:t>, א, ובכ"ד.</w:t>
      </w:r>
    </w:p>
  </w:endnote>
  <w:endnote w:id="37">
    <w:p w:rsidR="00191ACB" w:rsidRDefault="00191ACB" w:rsidP="00191ACB">
      <w:pPr>
        <w:pStyle w:val="a5"/>
        <w:rPr>
          <w:rFonts w:hint="cs"/>
        </w:rPr>
      </w:pPr>
      <w:r>
        <w:rPr>
          <w:rtl/>
        </w:rPr>
        <w:tab/>
      </w:r>
      <w:r w:rsidRPr="00944A81">
        <w:rPr>
          <w:rtl/>
        </w:rPr>
        <w:endnoteRef/>
      </w:r>
      <w:r>
        <w:rPr>
          <w:rtl/>
        </w:rPr>
        <w:t>.</w:t>
      </w:r>
      <w:r>
        <w:rPr>
          <w:rtl/>
        </w:rPr>
        <w:tab/>
      </w:r>
      <w:r>
        <w:rPr>
          <w:rFonts w:hint="cs"/>
          <w:rtl/>
        </w:rPr>
        <w:t>וראה לעיל בתורה "לשמור על הירח מלא".</w:t>
      </w:r>
    </w:p>
  </w:endnote>
  <w:endnote w:id="38">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ישעיה לח, </w:t>
      </w:r>
      <w:proofErr w:type="spellStart"/>
      <w:r>
        <w:rPr>
          <w:rFonts w:hint="cs"/>
          <w:rtl/>
        </w:rPr>
        <w:t>יט</w:t>
      </w:r>
      <w:proofErr w:type="spellEnd"/>
      <w:r>
        <w:rPr>
          <w:rFonts w:hint="cs"/>
          <w:rtl/>
        </w:rPr>
        <w:t>.</w:t>
      </w:r>
    </w:p>
  </w:endnote>
  <w:endnote w:id="39">
    <w:p w:rsidR="00191ACB" w:rsidRDefault="00191ACB" w:rsidP="00191ACB">
      <w:pPr>
        <w:pStyle w:val="a5"/>
        <w:rPr>
          <w:rFonts w:hint="cs"/>
          <w:rtl/>
        </w:rPr>
      </w:pPr>
      <w:r>
        <w:rPr>
          <w:rtl/>
        </w:rPr>
        <w:tab/>
      </w:r>
      <w:r w:rsidRPr="00944A81">
        <w:rPr>
          <w:rtl/>
        </w:rPr>
        <w:endnoteRef/>
      </w:r>
      <w:r>
        <w:rPr>
          <w:rtl/>
        </w:rPr>
        <w:t>.</w:t>
      </w:r>
      <w:r>
        <w:rPr>
          <w:rtl/>
        </w:rPr>
        <w:tab/>
      </w:r>
      <w:r>
        <w:rPr>
          <w:rFonts w:hint="cs"/>
          <w:rtl/>
        </w:rPr>
        <w:t xml:space="preserve">בראשית רבה </w:t>
      </w:r>
      <w:proofErr w:type="spellStart"/>
      <w:r>
        <w:rPr>
          <w:rFonts w:hint="cs"/>
          <w:rtl/>
        </w:rPr>
        <w:t>יז</w:t>
      </w:r>
      <w:proofErr w:type="spellEnd"/>
      <w:r>
        <w:rPr>
          <w:rFonts w:hint="cs"/>
          <w:rtl/>
        </w:rPr>
        <w:t>, ז.</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Guttman-Soncino">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05D" w:rsidRDefault="00E5605D" w:rsidP="00191ACB">
      <w:pPr>
        <w:spacing w:after="0" w:line="240" w:lineRule="auto"/>
      </w:pPr>
      <w:r>
        <w:separator/>
      </w:r>
    </w:p>
  </w:footnote>
  <w:footnote w:type="continuationSeparator" w:id="0">
    <w:p w:rsidR="00E5605D" w:rsidRDefault="00E5605D" w:rsidP="00191A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7DE"/>
    <w:rsid w:val="00061E65"/>
    <w:rsid w:val="00191ACB"/>
    <w:rsid w:val="005B47DE"/>
    <w:rsid w:val="00AC2310"/>
    <w:rsid w:val="00E560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91ACB"/>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191AC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91ACB"/>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191ACB"/>
    <w:rPr>
      <w:noProof/>
      <w:position w:val="-4"/>
      <w:szCs w:val="26"/>
      <w:vertAlign w:val="superscript"/>
    </w:rPr>
  </w:style>
  <w:style w:type="character" w:customStyle="1" w:styleId="a4">
    <w:name w:val="מרים"/>
    <w:basedOn w:val="a0"/>
    <w:rsid w:val="00191ACB"/>
    <w:rPr>
      <w:rFonts w:cs="MiriamMFO"/>
      <w:w w:val="100"/>
      <w:sz w:val="21"/>
      <w:szCs w:val="23"/>
    </w:rPr>
  </w:style>
  <w:style w:type="paragraph" w:styleId="a5">
    <w:name w:val="endnote text"/>
    <w:aliases w:val="Endnote Text"/>
    <w:basedOn w:val="a"/>
    <w:link w:val="a6"/>
    <w:semiHidden/>
    <w:rsid w:val="00191ACB"/>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191ACB"/>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191ACB"/>
    <w:rPr>
      <w:noProof/>
      <w:position w:val="-4"/>
      <w:szCs w:val="27"/>
      <w:vertAlign w:val="superscript"/>
    </w:rPr>
  </w:style>
  <w:style w:type="paragraph" w:customStyle="1" w:styleId="a8">
    <w:name w:val="ציטוט שוליים"/>
    <w:basedOn w:val="a"/>
    <w:link w:val="a9"/>
    <w:rsid w:val="00191ACB"/>
    <w:pPr>
      <w:spacing w:line="280" w:lineRule="exact"/>
      <w:ind w:left="737"/>
    </w:pPr>
    <w:rPr>
      <w:rFonts w:cs="Guttman-Soncino"/>
      <w:snapToGrid w:val="0"/>
      <w:szCs w:val="19"/>
      <w:lang w:eastAsia="en-US"/>
    </w:rPr>
  </w:style>
  <w:style w:type="paragraph" w:customStyle="1" w:styleId="aa">
    <w:name w:val="פתיח תו"/>
    <w:basedOn w:val="a"/>
    <w:link w:val="ab"/>
    <w:rsid w:val="00191AC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b">
    <w:name w:val="פתיח תו תו"/>
    <w:basedOn w:val="a0"/>
    <w:link w:val="aa"/>
    <w:rsid w:val="00191ACB"/>
    <w:rPr>
      <w:rFonts w:ascii="Times New Roman" w:eastAsia="Times New Roman" w:hAnsi="Times New Roman" w:cs="Guttman Soncino"/>
      <w:b/>
      <w:bCs/>
      <w:color w:val="808080"/>
      <w:position w:val="-5"/>
      <w:sz w:val="85"/>
      <w:szCs w:val="85"/>
      <w:lang w:eastAsia="he-IL"/>
    </w:rPr>
  </w:style>
  <w:style w:type="character" w:customStyle="1" w:styleId="a9">
    <w:name w:val="ציטוט שוליים תו"/>
    <w:basedOn w:val="a0"/>
    <w:link w:val="a8"/>
    <w:rsid w:val="00191ACB"/>
    <w:rPr>
      <w:rFonts w:ascii="Times New Roman" w:eastAsia="Times New Roman" w:hAnsi="Times New Roman" w:cs="Guttman-Soncino"/>
      <w:snapToGrid w:val="0"/>
      <w:sz w:val="26"/>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91ACB"/>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191AC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91ACB"/>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191ACB"/>
    <w:rPr>
      <w:noProof/>
      <w:position w:val="-4"/>
      <w:szCs w:val="26"/>
      <w:vertAlign w:val="superscript"/>
    </w:rPr>
  </w:style>
  <w:style w:type="character" w:customStyle="1" w:styleId="a4">
    <w:name w:val="מרים"/>
    <w:basedOn w:val="a0"/>
    <w:rsid w:val="00191ACB"/>
    <w:rPr>
      <w:rFonts w:cs="MiriamMFO"/>
      <w:w w:val="100"/>
      <w:sz w:val="21"/>
      <w:szCs w:val="23"/>
    </w:rPr>
  </w:style>
  <w:style w:type="paragraph" w:styleId="a5">
    <w:name w:val="endnote text"/>
    <w:aliases w:val="Endnote Text"/>
    <w:basedOn w:val="a"/>
    <w:link w:val="a6"/>
    <w:semiHidden/>
    <w:rsid w:val="00191ACB"/>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191ACB"/>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191ACB"/>
    <w:rPr>
      <w:noProof/>
      <w:position w:val="-4"/>
      <w:szCs w:val="27"/>
      <w:vertAlign w:val="superscript"/>
    </w:rPr>
  </w:style>
  <w:style w:type="paragraph" w:customStyle="1" w:styleId="a8">
    <w:name w:val="ציטוט שוליים"/>
    <w:basedOn w:val="a"/>
    <w:link w:val="a9"/>
    <w:rsid w:val="00191ACB"/>
    <w:pPr>
      <w:spacing w:line="280" w:lineRule="exact"/>
      <w:ind w:left="737"/>
    </w:pPr>
    <w:rPr>
      <w:rFonts w:cs="Guttman-Soncino"/>
      <w:snapToGrid w:val="0"/>
      <w:szCs w:val="19"/>
      <w:lang w:eastAsia="en-US"/>
    </w:rPr>
  </w:style>
  <w:style w:type="paragraph" w:customStyle="1" w:styleId="aa">
    <w:name w:val="פתיח תו"/>
    <w:basedOn w:val="a"/>
    <w:link w:val="ab"/>
    <w:rsid w:val="00191AC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b">
    <w:name w:val="פתיח תו תו"/>
    <w:basedOn w:val="a0"/>
    <w:link w:val="aa"/>
    <w:rsid w:val="00191ACB"/>
    <w:rPr>
      <w:rFonts w:ascii="Times New Roman" w:eastAsia="Times New Roman" w:hAnsi="Times New Roman" w:cs="Guttman Soncino"/>
      <w:b/>
      <w:bCs/>
      <w:color w:val="808080"/>
      <w:position w:val="-5"/>
      <w:sz w:val="85"/>
      <w:szCs w:val="85"/>
      <w:lang w:eastAsia="he-IL"/>
    </w:rPr>
  </w:style>
  <w:style w:type="character" w:customStyle="1" w:styleId="a9">
    <w:name w:val="ציטוט שוליים תו"/>
    <w:basedOn w:val="a0"/>
    <w:link w:val="a8"/>
    <w:rsid w:val="00191ACB"/>
    <w:rPr>
      <w:rFonts w:ascii="Times New Roman" w:eastAsia="Times New Roman" w:hAnsi="Times New Roman" w:cs="Guttman-Soncino"/>
      <w:snapToGrid w:val="0"/>
      <w:sz w:val="26"/>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788</Words>
  <Characters>3944</Characters>
  <Application>Microsoft Office Word</Application>
  <DocSecurity>0</DocSecurity>
  <Lines>32</Lines>
  <Paragraphs>9</Paragraphs>
  <ScaleCrop>false</ScaleCrop>
  <Company/>
  <LinksUpToDate>false</LinksUpToDate>
  <CharactersWithSpaces>4723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2017-08-16T09:57:00Z</dcterms:created>
  <dcterms:modified xsi:type="dcterms:W3CDTF">2017-08-16T09:57:00Z</dcterms:modified>
</cp:coreProperties>
</file>