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F84" w:rsidRDefault="008F6F84" w:rsidP="008F6F84">
      <w:pPr>
        <w:pStyle w:val="2"/>
        <w:rPr>
          <w:rFonts w:hint="cs"/>
          <w:rtl/>
        </w:rPr>
      </w:pPr>
      <w:r>
        <w:rPr>
          <w:rFonts w:hint="cs"/>
          <w:rtl/>
        </w:rPr>
        <w:t>נס הנישואין</w:t>
      </w:r>
    </w:p>
    <w:p w:rsidR="008F6F84" w:rsidRPr="002E2CC9" w:rsidRDefault="008F6F84" w:rsidP="008F6F84">
      <w:pPr>
        <w:keepNext/>
        <w:framePr w:dropCap="drop" w:lines="2" w:hSpace="57" w:wrap="around" w:vAnchor="text" w:hAnchor="text" w:xAlign="right"/>
        <w:spacing w:after="0" w:line="760" w:lineRule="exact"/>
        <w:textAlignment w:val="baseline"/>
        <w:rPr>
          <w:rStyle w:val="a8"/>
          <w:rtl/>
        </w:rPr>
      </w:pPr>
      <w:r w:rsidRPr="002E2CC9">
        <w:rPr>
          <w:rStyle w:val="a8"/>
          <w:rFonts w:hint="cs"/>
          <w:rtl/>
        </w:rPr>
        <w:t>ש</w:t>
      </w:r>
    </w:p>
    <w:p w:rsidR="008F6F84" w:rsidRDefault="008F6F84" w:rsidP="008F6F84">
      <w:pPr>
        <w:rPr>
          <w:rFonts w:hint="cs"/>
          <w:rtl/>
        </w:rPr>
      </w:pPr>
      <w:r w:rsidRPr="0056432A">
        <w:rPr>
          <w:rFonts w:hint="cs"/>
          <w:rtl/>
        </w:rPr>
        <w:t xml:space="preserve">תי האותיות הראשונות של נישואין הן </w:t>
      </w:r>
      <w:r w:rsidRPr="0056432A">
        <w:rPr>
          <w:rFonts w:hint="cs"/>
          <w:b/>
          <w:bCs/>
          <w:sz w:val="28"/>
          <w:szCs w:val="28"/>
          <w:rtl/>
        </w:rPr>
        <w:t>נשׂ</w:t>
      </w:r>
      <w:r w:rsidRPr="0056432A">
        <w:rPr>
          <w:rFonts w:hint="cs"/>
          <w:rtl/>
        </w:rPr>
        <w:t>, ב-</w:t>
      </w:r>
      <w:r w:rsidRPr="0056432A">
        <w:rPr>
          <w:rFonts w:hint="cs"/>
          <w:b/>
          <w:bCs/>
          <w:sz w:val="28"/>
          <w:szCs w:val="28"/>
          <w:rtl/>
        </w:rPr>
        <w:t>שׂ</w:t>
      </w:r>
      <w:r w:rsidRPr="0056432A">
        <w:rPr>
          <w:rFonts w:hint="cs"/>
          <w:rtl/>
        </w:rPr>
        <w:t xml:space="preserve"> שמאלית, והן מתחלפות בלשון הקדש גם עם המלה </w:t>
      </w:r>
      <w:r w:rsidRPr="0056432A">
        <w:rPr>
          <w:rFonts w:hint="cs"/>
          <w:b/>
          <w:bCs/>
          <w:sz w:val="28"/>
          <w:szCs w:val="28"/>
          <w:rtl/>
        </w:rPr>
        <w:t>נס</w:t>
      </w:r>
      <w:r w:rsidRPr="0056432A">
        <w:rPr>
          <w:rFonts w:hint="cs"/>
          <w:rtl/>
        </w:rPr>
        <w:t>.</w:t>
      </w:r>
      <w:r>
        <w:rPr>
          <w:rFonts w:hint="cs"/>
          <w:rtl/>
        </w:rPr>
        <w:t xml:space="preserve"> על הפסוק "</w:t>
      </w:r>
      <w:proofErr w:type="spellStart"/>
      <w:r>
        <w:rPr>
          <w:rFonts w:hint="cs"/>
          <w:rtl/>
        </w:rPr>
        <w:t>אלהים</w:t>
      </w:r>
      <w:proofErr w:type="spellEnd"/>
      <w:r>
        <w:rPr>
          <w:rFonts w:hint="cs"/>
          <w:rtl/>
        </w:rPr>
        <w:t xml:space="preserve"> מושיב יחידים ביתה מוציא אסירים </w:t>
      </w:r>
      <w:proofErr w:type="spellStart"/>
      <w:r>
        <w:rPr>
          <w:rFonts w:hint="cs"/>
          <w:rtl/>
        </w:rPr>
        <w:t>בכושרות</w:t>
      </w:r>
      <w:proofErr w:type="spellEnd"/>
      <w:r>
        <w:rPr>
          <w:rFonts w:hint="cs"/>
          <w:rtl/>
        </w:rPr>
        <w:t>"</w:t>
      </w:r>
      <w:r w:rsidRPr="008636EE">
        <w:rPr>
          <w:rStyle w:val="a3"/>
          <w:rtl/>
        </w:rPr>
        <w:endnoteReference w:id="1"/>
      </w:r>
      <w:r>
        <w:rPr>
          <w:rFonts w:hint="cs"/>
          <w:rtl/>
        </w:rPr>
        <w:t xml:space="preserve"> דרשו חז"ל כי "קשה לזווגן כקריעת ים סוף"</w:t>
      </w:r>
      <w:r w:rsidRPr="008636EE">
        <w:rPr>
          <w:rStyle w:val="a3"/>
          <w:rtl/>
        </w:rPr>
        <w:endnoteReference w:id="2"/>
      </w:r>
      <w:r>
        <w:rPr>
          <w:rFonts w:hint="cs"/>
          <w:rtl/>
        </w:rPr>
        <w:t>, והרי קריעת ים סוף היא הנס הגדול והמובהק ביותר, החותם את נסי חדש ניסן</w:t>
      </w:r>
      <w:r w:rsidRPr="008636EE">
        <w:rPr>
          <w:rStyle w:val="a3"/>
          <w:rtl/>
        </w:rPr>
        <w:endnoteReference w:id="3"/>
      </w:r>
      <w:r>
        <w:rPr>
          <w:rFonts w:hint="cs"/>
          <w:rtl/>
        </w:rPr>
        <w:t>, חדש של נסי נסים</w:t>
      </w:r>
      <w:r w:rsidRPr="008636EE">
        <w:rPr>
          <w:rStyle w:val="a3"/>
          <w:rtl/>
        </w:rPr>
        <w:endnoteReference w:id="4"/>
      </w:r>
      <w:r>
        <w:rPr>
          <w:rFonts w:hint="cs"/>
          <w:rtl/>
        </w:rPr>
        <w:t xml:space="preserve"> (בו קל לחולל נסים קשים כקריעת ים סוף...). [על אף שבגמרא מעמידים זאת בזיווג שני, בעוד שעל זיווג ראשון נאמר כי "ארבעים יום קודם יצירת הולד בת קול יוצאת ואומרת בת פלוני לפלוני", יש לדרוש כי "זיווג ראשון" היינו מפגש הנשמות הראשון, קודם יצירת הולד, כאשר הן היו נשמה אחת בגילוי, ואילו "זיווג שני" היינו המפגש השני של הנשמות בעולם הזה</w:t>
      </w:r>
      <w:r w:rsidRPr="008636EE">
        <w:rPr>
          <w:rStyle w:val="a3"/>
          <w:rtl/>
        </w:rPr>
        <w:endnoteReference w:id="5"/>
      </w:r>
      <w:r>
        <w:rPr>
          <w:rFonts w:hint="cs"/>
          <w:rtl/>
        </w:rPr>
        <w:t>, בו הן מתפקדות כשני "יחידים" (שאינם קרובי משפחה</w:t>
      </w:r>
      <w:r w:rsidRPr="008636EE">
        <w:rPr>
          <w:rStyle w:val="a3"/>
          <w:rtl/>
        </w:rPr>
        <w:endnoteReference w:id="6"/>
      </w:r>
      <w:r>
        <w:rPr>
          <w:rFonts w:hint="cs"/>
          <w:rtl/>
        </w:rPr>
        <w:t xml:space="preserve">) שיש להושיבן יחד "ביתה" עם כל הקושי </w:t>
      </w:r>
      <w:proofErr w:type="spellStart"/>
      <w:r>
        <w:rPr>
          <w:rFonts w:hint="cs"/>
          <w:rtl/>
        </w:rPr>
        <w:t>שבענין</w:t>
      </w:r>
      <w:proofErr w:type="spellEnd"/>
      <w:r>
        <w:rPr>
          <w:rFonts w:hint="cs"/>
          <w:rtl/>
        </w:rPr>
        <w:t>. שהרי גם ביחס לקריעת ים סוף "</w:t>
      </w:r>
      <w:proofErr w:type="spellStart"/>
      <w:r>
        <w:rPr>
          <w:rFonts w:hint="cs"/>
          <w:rtl/>
        </w:rPr>
        <w:t>תנאין</w:t>
      </w:r>
      <w:proofErr w:type="spellEnd"/>
      <w:r>
        <w:rPr>
          <w:rFonts w:hint="cs"/>
          <w:rtl/>
        </w:rPr>
        <w:t xml:space="preserve"> התנה הקב"ה עם הים שיהיה נקרע לפני משה"</w:t>
      </w:r>
      <w:r w:rsidRPr="008636EE">
        <w:rPr>
          <w:rStyle w:val="a3"/>
          <w:rtl/>
        </w:rPr>
        <w:endnoteReference w:id="7"/>
      </w:r>
      <w:r>
        <w:rPr>
          <w:rFonts w:hint="cs"/>
          <w:rtl/>
        </w:rPr>
        <w:t xml:space="preserve"> וקריעתו אינה אלא חזרה "לתנאי שהתניתי עמו מתחלה"</w:t>
      </w:r>
      <w:r w:rsidRPr="008636EE">
        <w:rPr>
          <w:rStyle w:val="a3"/>
          <w:rtl/>
        </w:rPr>
        <w:endnoteReference w:id="8"/>
      </w:r>
      <w:r>
        <w:rPr>
          <w:rFonts w:hint="cs"/>
          <w:rtl/>
        </w:rPr>
        <w:t>, ואף על פי כן זהו נס 'קשה' (ויש לדרוש כי ה'תנאים' שעורכים לפני החתונה הם תזכורת לתנאי שהתנה ה' עם הנשמות הללו על קריעת ים סוף הפרטית שלהן)].</w:t>
      </w:r>
    </w:p>
    <w:p w:rsidR="008F6F84" w:rsidRDefault="008F6F84" w:rsidP="008F6F84">
      <w:pPr>
        <w:rPr>
          <w:rFonts w:hint="cs"/>
          <w:rtl/>
        </w:rPr>
      </w:pPr>
      <w:r>
        <w:rPr>
          <w:rFonts w:hint="cs"/>
          <w:rtl/>
        </w:rPr>
        <w:t xml:space="preserve">בדרך כלל היחס בין רווקות לנישואין מתואר כיחס בין תהו ותיקון, כעולה מכך שהתורה מתארת את מלכי עולם </w:t>
      </w:r>
      <w:proofErr w:type="spellStart"/>
      <w:r>
        <w:rPr>
          <w:rFonts w:hint="cs"/>
          <w:rtl/>
        </w:rPr>
        <w:t>התהו</w:t>
      </w:r>
      <w:proofErr w:type="spellEnd"/>
      <w:r>
        <w:rPr>
          <w:rFonts w:hint="cs"/>
          <w:rtl/>
        </w:rPr>
        <w:t xml:space="preserve"> כלא נשואים</w:t>
      </w:r>
      <w:r w:rsidRPr="008636EE">
        <w:rPr>
          <w:rStyle w:val="a3"/>
          <w:rtl/>
        </w:rPr>
        <w:endnoteReference w:id="9"/>
      </w:r>
      <w:r>
        <w:rPr>
          <w:rFonts w:hint="cs"/>
          <w:rtl/>
        </w:rPr>
        <w:t xml:space="preserve"> (וכן חז"ל דורשים</w:t>
      </w:r>
      <w:r w:rsidRPr="008636EE">
        <w:rPr>
          <w:rStyle w:val="a3"/>
          <w:rtl/>
        </w:rPr>
        <w:endnoteReference w:id="10"/>
      </w:r>
      <w:r>
        <w:rPr>
          <w:rFonts w:hint="cs"/>
          <w:rtl/>
        </w:rPr>
        <w:t xml:space="preserve"> על מי שלא מתחתן ומעמיד צאצאים את הפסוק "לא תהו בראה"</w:t>
      </w:r>
      <w:r w:rsidRPr="008636EE">
        <w:rPr>
          <w:rStyle w:val="a3"/>
          <w:rtl/>
        </w:rPr>
        <w:endnoteReference w:id="11"/>
      </w:r>
      <w:r>
        <w:rPr>
          <w:rFonts w:hint="cs"/>
          <w:rtl/>
        </w:rPr>
        <w:t xml:space="preserve">). רק במלך השמיני, שהוא ראשית עולם התיקון, נאמר "ושם אשתו </w:t>
      </w:r>
      <w:proofErr w:type="spellStart"/>
      <w:r>
        <w:rPr>
          <w:rFonts w:hint="cs"/>
          <w:rtl/>
        </w:rPr>
        <w:t>מהיטבאל</w:t>
      </w:r>
      <w:proofErr w:type="spellEnd"/>
      <w:r>
        <w:rPr>
          <w:rFonts w:hint="cs"/>
          <w:rtl/>
        </w:rPr>
        <w:t>"</w:t>
      </w:r>
      <w:r w:rsidRPr="008636EE">
        <w:rPr>
          <w:rStyle w:val="a3"/>
          <w:rtl/>
        </w:rPr>
        <w:endnoteReference w:id="12"/>
      </w:r>
      <w:r>
        <w:rPr>
          <w:rFonts w:hint="cs"/>
          <w:rtl/>
        </w:rPr>
        <w:t xml:space="preserve">. אמנם, נכון להגדיר את היחס בין תהו לתיקון גם כיחס בין טבע לנס (או בין "טבע ראשון" ל"טבע שני", שקיומו הוא נס לא-טבעי): הטבע הוא </w:t>
      </w:r>
      <w:proofErr w:type="spellStart"/>
      <w:r>
        <w:rPr>
          <w:rFonts w:hint="cs"/>
          <w:rtl/>
        </w:rPr>
        <w:t>תוהי</w:t>
      </w:r>
      <w:proofErr w:type="spellEnd"/>
      <w:r>
        <w:rPr>
          <w:rFonts w:hint="cs"/>
          <w:rtl/>
        </w:rPr>
        <w:t xml:space="preserve">, כפוף לחוק האנטרופיה המעודד פירוק כל מציאות לרכיביה הראשוניים, ואילו התיקון וההרכבה של דברים שונים ביחד </w:t>
      </w:r>
      <w:r>
        <w:rPr>
          <w:rFonts w:hint="cs"/>
          <w:rtl/>
        </w:rPr>
        <w:lastRenderedPageBreak/>
        <w:t>("מושיב יחידים ביתה"), במעין נשיאת הפכים, הם בגדר נס. עולם התיקון הנסי מתאפיין בחיים נצחיים (כשם שדווקא "</w:t>
      </w:r>
      <w:r w:rsidRPr="000E5A4C">
        <w:rPr>
          <w:rFonts w:hint="cs"/>
          <w:b/>
          <w:bCs/>
          <w:sz w:val="28"/>
          <w:szCs w:val="28"/>
          <w:rtl/>
        </w:rPr>
        <w:t>טבע</w:t>
      </w:r>
      <w:r>
        <w:rPr>
          <w:rFonts w:hint="cs"/>
          <w:rtl/>
        </w:rPr>
        <w:t xml:space="preserve"> </w:t>
      </w:r>
      <w:r w:rsidRPr="000E5A4C">
        <w:rPr>
          <w:rFonts w:hint="cs"/>
          <w:b/>
          <w:bCs/>
          <w:sz w:val="28"/>
          <w:szCs w:val="28"/>
          <w:rtl/>
        </w:rPr>
        <w:t>שני</w:t>
      </w:r>
      <w:r>
        <w:rPr>
          <w:rFonts w:hint="cs"/>
          <w:rtl/>
        </w:rPr>
        <w:t xml:space="preserve">" </w:t>
      </w:r>
      <w:proofErr w:type="spellStart"/>
      <w:r>
        <w:rPr>
          <w:rFonts w:hint="cs"/>
          <w:rtl/>
        </w:rPr>
        <w:t>בגימטריא</w:t>
      </w:r>
      <w:proofErr w:type="spellEnd"/>
      <w:r>
        <w:rPr>
          <w:rFonts w:hint="cs"/>
          <w:rtl/>
        </w:rPr>
        <w:t xml:space="preserve"> </w:t>
      </w:r>
      <w:r w:rsidRPr="000E5A4C">
        <w:rPr>
          <w:rFonts w:hint="cs"/>
          <w:b/>
          <w:bCs/>
          <w:sz w:val="28"/>
          <w:szCs w:val="28"/>
          <w:rtl/>
        </w:rPr>
        <w:t>אמת</w:t>
      </w:r>
      <w:r w:rsidRPr="008636EE">
        <w:rPr>
          <w:rStyle w:val="a3"/>
          <w:rtl/>
        </w:rPr>
        <w:endnoteReference w:id="13"/>
      </w:r>
      <w:r>
        <w:rPr>
          <w:rFonts w:hint="cs"/>
          <w:rtl/>
        </w:rPr>
        <w:t xml:space="preserve">, שהיא היציבה והנצחית) </w:t>
      </w:r>
      <w:r>
        <w:rPr>
          <w:rtl/>
        </w:rPr>
        <w:t>–</w:t>
      </w:r>
      <w:r>
        <w:rPr>
          <w:rFonts w:hint="cs"/>
          <w:rtl/>
        </w:rPr>
        <w:t xml:space="preserve"> "</w:t>
      </w:r>
      <w:r w:rsidRPr="009578A3">
        <w:rPr>
          <w:rFonts w:hint="cs"/>
          <w:b/>
          <w:bCs/>
          <w:sz w:val="28"/>
          <w:szCs w:val="28"/>
          <w:rtl/>
        </w:rPr>
        <w:t>ראה</w:t>
      </w:r>
      <w:r>
        <w:rPr>
          <w:rFonts w:hint="cs"/>
          <w:rtl/>
        </w:rPr>
        <w:t xml:space="preserve"> </w:t>
      </w:r>
      <w:r w:rsidRPr="009578A3">
        <w:rPr>
          <w:rFonts w:hint="cs"/>
          <w:b/>
          <w:bCs/>
          <w:sz w:val="28"/>
          <w:szCs w:val="28"/>
          <w:rtl/>
        </w:rPr>
        <w:t>חיים</w:t>
      </w:r>
      <w:r>
        <w:rPr>
          <w:rFonts w:hint="cs"/>
          <w:rtl/>
        </w:rPr>
        <w:t xml:space="preserve"> </w:t>
      </w:r>
      <w:r w:rsidRPr="009578A3">
        <w:rPr>
          <w:rFonts w:hint="cs"/>
          <w:b/>
          <w:bCs/>
          <w:sz w:val="28"/>
          <w:szCs w:val="28"/>
          <w:rtl/>
        </w:rPr>
        <w:t>עם</w:t>
      </w:r>
      <w:r>
        <w:rPr>
          <w:rFonts w:hint="cs"/>
          <w:rtl/>
        </w:rPr>
        <w:t xml:space="preserve"> </w:t>
      </w:r>
      <w:proofErr w:type="spellStart"/>
      <w:r w:rsidRPr="009578A3">
        <w:rPr>
          <w:rFonts w:hint="cs"/>
          <w:b/>
          <w:bCs/>
          <w:sz w:val="28"/>
          <w:szCs w:val="28"/>
          <w:rtl/>
        </w:rPr>
        <w:t>אשה</w:t>
      </w:r>
      <w:proofErr w:type="spellEnd"/>
      <w:r>
        <w:rPr>
          <w:rFonts w:hint="cs"/>
          <w:rtl/>
        </w:rPr>
        <w:t xml:space="preserve"> </w:t>
      </w:r>
      <w:r w:rsidRPr="009578A3">
        <w:rPr>
          <w:rFonts w:hint="cs"/>
          <w:b/>
          <w:bCs/>
          <w:sz w:val="28"/>
          <w:szCs w:val="28"/>
          <w:rtl/>
        </w:rPr>
        <w:t>אשר</w:t>
      </w:r>
      <w:r>
        <w:rPr>
          <w:rFonts w:hint="cs"/>
          <w:rtl/>
        </w:rPr>
        <w:t xml:space="preserve"> </w:t>
      </w:r>
      <w:r w:rsidRPr="009578A3">
        <w:rPr>
          <w:rFonts w:hint="cs"/>
          <w:b/>
          <w:bCs/>
          <w:sz w:val="28"/>
          <w:szCs w:val="28"/>
          <w:rtl/>
        </w:rPr>
        <w:t>אהבת</w:t>
      </w:r>
      <w:r>
        <w:rPr>
          <w:rFonts w:hint="cs"/>
          <w:rtl/>
        </w:rPr>
        <w:t>"</w:t>
      </w:r>
      <w:r w:rsidRPr="008636EE">
        <w:rPr>
          <w:rStyle w:val="a3"/>
          <w:rtl/>
        </w:rPr>
        <w:endnoteReference w:id="14"/>
      </w:r>
      <w:r>
        <w:rPr>
          <w:rFonts w:hint="cs"/>
          <w:rtl/>
        </w:rPr>
        <w:t xml:space="preserve"> (העולה </w:t>
      </w:r>
      <w:r w:rsidRPr="000E5A4C">
        <w:rPr>
          <w:rFonts w:hint="cs"/>
          <w:b/>
          <w:bCs/>
          <w:sz w:val="28"/>
          <w:szCs w:val="28"/>
          <w:rtl/>
        </w:rPr>
        <w:t>אהבה</w:t>
      </w:r>
      <w:r>
        <w:rPr>
          <w:rFonts w:hint="cs"/>
          <w:rtl/>
        </w:rPr>
        <w:t xml:space="preserve"> פעמים </w:t>
      </w:r>
      <w:r w:rsidRPr="000E5A4C">
        <w:rPr>
          <w:rFonts w:hint="cs"/>
          <w:b/>
          <w:bCs/>
          <w:sz w:val="28"/>
          <w:szCs w:val="28"/>
          <w:rtl/>
        </w:rPr>
        <w:t>ענג</w:t>
      </w:r>
      <w:r>
        <w:rPr>
          <w:rFonts w:hint="cs"/>
          <w:rtl/>
        </w:rPr>
        <w:t>, סוד "אהבה בתענוגים"</w:t>
      </w:r>
      <w:r w:rsidRPr="008636EE">
        <w:rPr>
          <w:rStyle w:val="a3"/>
          <w:rtl/>
        </w:rPr>
        <w:endnoteReference w:id="15"/>
      </w:r>
      <w:r>
        <w:rPr>
          <w:rFonts w:hint="cs"/>
          <w:rtl/>
        </w:rPr>
        <w:t xml:space="preserve"> </w:t>
      </w:r>
      <w:proofErr w:type="spellStart"/>
      <w:r>
        <w:rPr>
          <w:rFonts w:hint="cs"/>
          <w:rtl/>
        </w:rPr>
        <w:t>וכדלקמן</w:t>
      </w:r>
      <w:proofErr w:type="spellEnd"/>
      <w:r>
        <w:rPr>
          <w:rFonts w:hint="cs"/>
          <w:rtl/>
        </w:rPr>
        <w:t>).</w:t>
      </w:r>
    </w:p>
    <w:p w:rsidR="008F6F84" w:rsidRDefault="008F6F84" w:rsidP="008F6F84">
      <w:pPr>
        <w:rPr>
          <w:rFonts w:hint="cs"/>
          <w:rtl/>
        </w:rPr>
      </w:pPr>
      <w:r>
        <w:rPr>
          <w:rFonts w:hint="cs"/>
          <w:rtl/>
        </w:rPr>
        <w:t>אחד המובנים של נס הוא לשון התרוממות, "נס להתנוסס"</w:t>
      </w:r>
      <w:r w:rsidRPr="008636EE">
        <w:rPr>
          <w:rStyle w:val="a3"/>
          <w:rtl/>
        </w:rPr>
        <w:endnoteReference w:id="16"/>
      </w:r>
      <w:r>
        <w:rPr>
          <w:rFonts w:hint="cs"/>
          <w:rtl/>
        </w:rPr>
        <w:t xml:space="preserve">, כאשר </w:t>
      </w:r>
      <w:proofErr w:type="spellStart"/>
      <w:r>
        <w:rPr>
          <w:rFonts w:hint="cs"/>
          <w:rtl/>
        </w:rPr>
        <w:t>ב</w:t>
      </w:r>
      <w:r w:rsidRPr="00D91656">
        <w:rPr>
          <w:rStyle w:val="a4"/>
          <w:rFonts w:hint="cs"/>
          <w:rtl/>
        </w:rPr>
        <w:t>נשואין</w:t>
      </w:r>
      <w:proofErr w:type="spellEnd"/>
      <w:r>
        <w:rPr>
          <w:rFonts w:hint="cs"/>
          <w:rtl/>
        </w:rPr>
        <w:t xml:space="preserve"> בני הזוג </w:t>
      </w:r>
      <w:r w:rsidRPr="00D91656">
        <w:rPr>
          <w:rStyle w:val="a4"/>
          <w:rFonts w:hint="cs"/>
          <w:rtl/>
        </w:rPr>
        <w:t>נישאים</w:t>
      </w:r>
      <w:r>
        <w:rPr>
          <w:rFonts w:hint="cs"/>
          <w:rtl/>
        </w:rPr>
        <w:t xml:space="preserve"> ומתרוממים יחדיו אל שרשם המשותף (ובפרט נוגעת </w:t>
      </w:r>
      <w:proofErr w:type="spellStart"/>
      <w:r>
        <w:rPr>
          <w:rFonts w:hint="cs"/>
          <w:rtl/>
        </w:rPr>
        <w:t>העליה</w:t>
      </w:r>
      <w:proofErr w:type="spellEnd"/>
      <w:r>
        <w:rPr>
          <w:rFonts w:hint="cs"/>
          <w:rtl/>
        </w:rPr>
        <w:t xml:space="preserve"> לאשה ש"עולה עמו ואינה יורדת"</w:t>
      </w:r>
      <w:r w:rsidRPr="008636EE">
        <w:rPr>
          <w:rStyle w:val="a3"/>
          <w:rtl/>
        </w:rPr>
        <w:endnoteReference w:id="17"/>
      </w:r>
      <w:r>
        <w:rPr>
          <w:rFonts w:hint="cs"/>
          <w:rtl/>
        </w:rPr>
        <w:t>). עם זאת, התשתית הסומכת את נס הנישואין היא דווקא תחושת השפלות הנובעת מכך שמדובר בנס על-טבעי, מתנת חנם מן השמים (תשתית ה</w:t>
      </w:r>
      <w:r w:rsidRPr="00B00764">
        <w:rPr>
          <w:rFonts w:hint="cs"/>
          <w:b/>
          <w:bCs/>
          <w:sz w:val="28"/>
          <w:szCs w:val="28"/>
          <w:rtl/>
        </w:rPr>
        <w:t>נס</w:t>
      </w:r>
      <w:r>
        <w:rPr>
          <w:rFonts w:hint="cs"/>
          <w:rtl/>
        </w:rPr>
        <w:t xml:space="preserve"> היא תודעת "</w:t>
      </w:r>
      <w:r w:rsidRPr="00B00764">
        <w:rPr>
          <w:rFonts w:hint="cs"/>
          <w:b/>
          <w:bCs/>
          <w:sz w:val="28"/>
          <w:szCs w:val="28"/>
          <w:rtl/>
        </w:rPr>
        <w:t>ס</w:t>
      </w:r>
      <w:r>
        <w:rPr>
          <w:rFonts w:hint="cs"/>
          <w:rtl/>
        </w:rPr>
        <w:t xml:space="preserve">ומך </w:t>
      </w:r>
      <w:r w:rsidRPr="00B00764">
        <w:rPr>
          <w:rFonts w:hint="cs"/>
          <w:b/>
          <w:bCs/>
          <w:sz w:val="28"/>
          <w:szCs w:val="28"/>
          <w:rtl/>
        </w:rPr>
        <w:t>נ</w:t>
      </w:r>
      <w:r>
        <w:rPr>
          <w:rFonts w:hint="cs"/>
          <w:rtl/>
        </w:rPr>
        <w:t>ופלים"</w:t>
      </w:r>
      <w:r w:rsidRPr="008636EE">
        <w:rPr>
          <w:rStyle w:val="a3"/>
          <w:rtl/>
        </w:rPr>
        <w:endnoteReference w:id="18"/>
      </w:r>
      <w:r>
        <w:rPr>
          <w:rFonts w:hint="cs"/>
          <w:rtl/>
        </w:rPr>
        <w:t xml:space="preserve">). על כל אחד מבני הזוג להרגיש כי נס הוא שזולתו הסכים להתחתן </w:t>
      </w:r>
      <w:proofErr w:type="spellStart"/>
      <w:r>
        <w:rPr>
          <w:rFonts w:hint="cs"/>
          <w:rtl/>
        </w:rPr>
        <w:t>איתו</w:t>
      </w:r>
      <w:proofErr w:type="spellEnd"/>
      <w:r w:rsidRPr="008636EE">
        <w:rPr>
          <w:rStyle w:val="a3"/>
          <w:rtl/>
        </w:rPr>
        <w:endnoteReference w:id="19"/>
      </w:r>
      <w:r>
        <w:rPr>
          <w:rFonts w:hint="cs"/>
          <w:rtl/>
        </w:rPr>
        <w:t xml:space="preserve"> ועל שניהם יחד להכיר תודה לה' על נס הנישואין</w:t>
      </w:r>
      <w:r w:rsidRPr="008636EE">
        <w:rPr>
          <w:rStyle w:val="a3"/>
          <w:rtl/>
        </w:rPr>
        <w:endnoteReference w:id="20"/>
      </w:r>
      <w:r>
        <w:rPr>
          <w:rFonts w:hint="cs"/>
          <w:rtl/>
        </w:rPr>
        <w:t>. "</w:t>
      </w:r>
      <w:r w:rsidRPr="001A06DA">
        <w:rPr>
          <w:rFonts w:hint="cs"/>
          <w:b/>
          <w:bCs/>
          <w:sz w:val="28"/>
          <w:szCs w:val="28"/>
          <w:rtl/>
        </w:rPr>
        <w:t>אהבה</w:t>
      </w:r>
      <w:r>
        <w:rPr>
          <w:rFonts w:hint="cs"/>
          <w:rtl/>
        </w:rPr>
        <w:t xml:space="preserve"> </w:t>
      </w:r>
      <w:r w:rsidRPr="001A06DA">
        <w:rPr>
          <w:rFonts w:hint="cs"/>
          <w:b/>
          <w:bCs/>
          <w:sz w:val="28"/>
          <w:szCs w:val="28"/>
          <w:rtl/>
        </w:rPr>
        <w:t>בתענוגים</w:t>
      </w:r>
      <w:r>
        <w:rPr>
          <w:rFonts w:hint="cs"/>
          <w:rtl/>
        </w:rPr>
        <w:t xml:space="preserve">" תלויה בהרגשת כל אחד מבני הזוג שהוא </w:t>
      </w:r>
      <w:r w:rsidRPr="00332E33">
        <w:rPr>
          <w:rFonts w:hint="cs"/>
          <w:b/>
          <w:bCs/>
          <w:sz w:val="28"/>
          <w:szCs w:val="28"/>
          <w:rtl/>
        </w:rPr>
        <w:t>חי</w:t>
      </w:r>
      <w:r>
        <w:rPr>
          <w:rFonts w:hint="cs"/>
          <w:rtl/>
        </w:rPr>
        <w:t xml:space="preserve"> </w:t>
      </w:r>
      <w:r w:rsidRPr="00332E33">
        <w:rPr>
          <w:rFonts w:hint="cs"/>
          <w:b/>
          <w:bCs/>
          <w:sz w:val="28"/>
          <w:szCs w:val="28"/>
          <w:rtl/>
        </w:rPr>
        <w:t>בנס</w:t>
      </w:r>
      <w:r>
        <w:rPr>
          <w:rFonts w:hint="cs"/>
          <w:rtl/>
        </w:rPr>
        <w:t xml:space="preserve"> </w:t>
      </w:r>
      <w:r w:rsidRPr="00332E33">
        <w:rPr>
          <w:rFonts w:hint="cs"/>
          <w:b/>
          <w:bCs/>
          <w:sz w:val="28"/>
          <w:szCs w:val="28"/>
          <w:rtl/>
        </w:rPr>
        <w:t>תמידי</w:t>
      </w:r>
      <w:r>
        <w:rPr>
          <w:rFonts w:hint="cs"/>
          <w:rtl/>
        </w:rPr>
        <w:t>.</w:t>
      </w:r>
    </w:p>
    <w:p w:rsidR="005F4A47" w:rsidRDefault="008F6F84" w:rsidP="008F6F84">
      <w:r>
        <w:rPr>
          <w:rFonts w:hint="cs"/>
          <w:rtl/>
        </w:rPr>
        <w:t>בתורות הבאות בשער זה יעלו מובנים וסודות נוספים הטמונים בשער נס בהקשר לחיי הנישואין.</w:t>
      </w:r>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2D1" w:rsidRDefault="000B42D1" w:rsidP="008F6F84">
      <w:pPr>
        <w:spacing w:after="0" w:line="240" w:lineRule="auto"/>
      </w:pPr>
      <w:r>
        <w:separator/>
      </w:r>
    </w:p>
  </w:endnote>
  <w:endnote w:type="continuationSeparator" w:id="0">
    <w:p w:rsidR="000B42D1" w:rsidRDefault="000B42D1" w:rsidP="008F6F84">
      <w:pPr>
        <w:spacing w:after="0" w:line="240" w:lineRule="auto"/>
      </w:pPr>
      <w:r>
        <w:continuationSeparator/>
      </w:r>
    </w:p>
  </w:endnote>
  <w:endnote w:id="1">
    <w:p w:rsidR="008F6F84" w:rsidRDefault="008F6F84" w:rsidP="008F6F84">
      <w:pPr>
        <w:pStyle w:val="a5"/>
        <w:rPr>
          <w:rFonts w:hint="cs"/>
          <w:rtl/>
        </w:rPr>
      </w:pPr>
      <w:r>
        <w:rPr>
          <w:rtl/>
        </w:rPr>
        <w:tab/>
      </w:r>
      <w:r w:rsidRPr="00944A81">
        <w:rPr>
          <w:rtl/>
        </w:rPr>
        <w:endnoteRef/>
      </w:r>
      <w:r>
        <w:rPr>
          <w:rtl/>
        </w:rPr>
        <w:t>.</w:t>
      </w:r>
      <w:r>
        <w:rPr>
          <w:rtl/>
        </w:rPr>
        <w:tab/>
      </w:r>
      <w:r>
        <w:rPr>
          <w:rFonts w:hint="cs"/>
          <w:rtl/>
        </w:rPr>
        <w:t>תהלים סח, ז.</w:t>
      </w:r>
    </w:p>
  </w:endnote>
  <w:endnote w:id="2">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א (וראה סוטה ב, א).</w:t>
      </w:r>
    </w:p>
  </w:endnote>
  <w:endnote w:id="3">
    <w:p w:rsidR="008F6F84" w:rsidRDefault="008F6F84" w:rsidP="008F6F84">
      <w:pPr>
        <w:pStyle w:val="a5"/>
        <w:rPr>
          <w:rFonts w:hint="cs"/>
        </w:rPr>
      </w:pPr>
      <w:r>
        <w:rPr>
          <w:rtl/>
        </w:rPr>
        <w:tab/>
      </w:r>
      <w:r w:rsidRPr="00944A81">
        <w:rPr>
          <w:rtl/>
        </w:rPr>
        <w:endnoteRef/>
      </w:r>
      <w:r>
        <w:rPr>
          <w:rtl/>
        </w:rPr>
        <w:t>.</w:t>
      </w:r>
      <w:r>
        <w:rPr>
          <w:rtl/>
        </w:rPr>
        <w:tab/>
      </w:r>
      <w:r>
        <w:rPr>
          <w:rFonts w:hint="cs"/>
          <w:rtl/>
        </w:rPr>
        <w:t>ראה מדרש לקח טוב בא (</w:t>
      </w:r>
      <w:proofErr w:type="spellStart"/>
      <w:r>
        <w:rPr>
          <w:rFonts w:hint="cs"/>
          <w:rtl/>
        </w:rPr>
        <w:t>יב</w:t>
      </w:r>
      <w:proofErr w:type="spellEnd"/>
      <w:r>
        <w:rPr>
          <w:rFonts w:hint="cs"/>
          <w:rtl/>
        </w:rPr>
        <w:t>, ב): "ניסן שבו נעשים נסים לישראל".</w:t>
      </w:r>
    </w:p>
  </w:endnote>
  <w:endnote w:id="4">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עפ"י ברכות </w:t>
      </w:r>
      <w:proofErr w:type="spellStart"/>
      <w:r>
        <w:rPr>
          <w:rFonts w:hint="cs"/>
          <w:rtl/>
        </w:rPr>
        <w:t>נז</w:t>
      </w:r>
      <w:proofErr w:type="spellEnd"/>
      <w:r>
        <w:rPr>
          <w:rFonts w:hint="cs"/>
          <w:rtl/>
        </w:rPr>
        <w:t xml:space="preserve">, א (כמבואר בריבוי מקומות בדברי הרבי </w:t>
      </w:r>
      <w:proofErr w:type="spellStart"/>
      <w:r>
        <w:rPr>
          <w:rFonts w:hint="cs"/>
          <w:rtl/>
        </w:rPr>
        <w:t>מליובאוויטש</w:t>
      </w:r>
      <w:proofErr w:type="spellEnd"/>
      <w:r>
        <w:rPr>
          <w:rFonts w:hint="cs"/>
          <w:rtl/>
        </w:rPr>
        <w:t xml:space="preserve">, ראה למשל אגרות קדש כרך יא </w:t>
      </w:r>
      <w:proofErr w:type="spellStart"/>
      <w:r>
        <w:rPr>
          <w:rFonts w:hint="cs"/>
          <w:rtl/>
        </w:rPr>
        <w:t>ג'תעח</w:t>
      </w:r>
      <w:proofErr w:type="spellEnd"/>
      <w:r>
        <w:rPr>
          <w:rFonts w:hint="cs"/>
          <w:rtl/>
        </w:rPr>
        <w:t>).</w:t>
      </w:r>
    </w:p>
  </w:endnote>
  <w:endnote w:id="5">
    <w:p w:rsidR="008F6F84" w:rsidRDefault="008F6F84" w:rsidP="008F6F84">
      <w:pPr>
        <w:pStyle w:val="a5"/>
        <w:rPr>
          <w:rFonts w:hint="cs"/>
        </w:rPr>
      </w:pPr>
      <w:r>
        <w:rPr>
          <w:rtl/>
        </w:rPr>
        <w:tab/>
      </w:r>
      <w:r w:rsidRPr="00944A81">
        <w:rPr>
          <w:rtl/>
        </w:rPr>
        <w:endnoteRef/>
      </w:r>
      <w:r>
        <w:rPr>
          <w:rtl/>
        </w:rPr>
        <w:t>.</w:t>
      </w:r>
      <w:r>
        <w:rPr>
          <w:rtl/>
        </w:rPr>
        <w:tab/>
      </w:r>
      <w:r>
        <w:rPr>
          <w:rFonts w:hint="cs"/>
          <w:rtl/>
        </w:rPr>
        <w:t>עוד על היחס בין זיווג ראשון ושני, והופעה שלהם בכל נישואין, ראה מחול הכרמים פ"ד עמ' מד ואילך וביין משמח ח"ד שער ג בתורות "ארבעה לשונות של גאולה" ו"ארבעה זיווגים".</w:t>
      </w:r>
    </w:p>
  </w:endnote>
  <w:endnote w:id="6">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וראה </w:t>
      </w:r>
      <w:proofErr w:type="spellStart"/>
      <w:r>
        <w:rPr>
          <w:rFonts w:hint="cs"/>
          <w:rtl/>
        </w:rPr>
        <w:t>הפלאה</w:t>
      </w:r>
      <w:proofErr w:type="spellEnd"/>
      <w:r>
        <w:rPr>
          <w:rFonts w:hint="cs"/>
          <w:rtl/>
        </w:rPr>
        <w:t xml:space="preserve"> לכתובות ח, א: "</w:t>
      </w:r>
      <w:r>
        <w:rPr>
          <w:rtl/>
        </w:rPr>
        <w:t xml:space="preserve">מה שאמרו </w:t>
      </w:r>
      <w:r>
        <w:rPr>
          <w:rFonts w:hint="cs"/>
          <w:rtl/>
        </w:rPr>
        <w:t>'</w:t>
      </w:r>
      <w:r>
        <w:rPr>
          <w:rtl/>
        </w:rPr>
        <w:t xml:space="preserve">שמח תשמח </w:t>
      </w:r>
      <w:proofErr w:type="spellStart"/>
      <w:r>
        <w:rPr>
          <w:rtl/>
        </w:rPr>
        <w:t>וכו</w:t>
      </w:r>
      <w:proofErr w:type="spellEnd"/>
      <w:r>
        <w:rPr>
          <w:rtl/>
        </w:rPr>
        <w:t>'</w:t>
      </w:r>
      <w:r>
        <w:rPr>
          <w:rFonts w:hint="cs"/>
          <w:rtl/>
        </w:rPr>
        <w:t>'</w:t>
      </w:r>
      <w:r>
        <w:rPr>
          <w:rtl/>
        </w:rPr>
        <w:t xml:space="preserve"> מפני שאמרו חז"ל בפסוק </w:t>
      </w:r>
      <w:r>
        <w:rPr>
          <w:rFonts w:hint="cs"/>
          <w:rtl/>
        </w:rPr>
        <w:t>'</w:t>
      </w:r>
      <w:r>
        <w:rPr>
          <w:rtl/>
        </w:rPr>
        <w:t>וישמע משה את העם בוכה למשפחותיו</w:t>
      </w:r>
      <w:r>
        <w:rPr>
          <w:rFonts w:hint="cs"/>
          <w:rtl/>
        </w:rPr>
        <w:t>'</w:t>
      </w:r>
      <w:r>
        <w:rPr>
          <w:rtl/>
        </w:rPr>
        <w:t xml:space="preserve">. </w:t>
      </w:r>
      <w:proofErr w:type="spellStart"/>
      <w:r>
        <w:rPr>
          <w:rtl/>
        </w:rPr>
        <w:t>פירש"י</w:t>
      </w:r>
      <w:proofErr w:type="spellEnd"/>
      <w:r>
        <w:rPr>
          <w:rtl/>
        </w:rPr>
        <w:t xml:space="preserve"> </w:t>
      </w:r>
      <w:r>
        <w:rPr>
          <w:rFonts w:hint="cs"/>
          <w:rtl/>
        </w:rPr>
        <w:t>'</w:t>
      </w:r>
      <w:r>
        <w:rPr>
          <w:rtl/>
        </w:rPr>
        <w:t>על עריות שנאסר להם</w:t>
      </w:r>
      <w:r>
        <w:rPr>
          <w:rFonts w:hint="cs"/>
          <w:rtl/>
        </w:rPr>
        <w:t>'</w:t>
      </w:r>
      <w:r>
        <w:rPr>
          <w:rtl/>
        </w:rPr>
        <w:t xml:space="preserve">. ואמרו חז"ל שעדיין אין </w:t>
      </w:r>
      <w:proofErr w:type="spellStart"/>
      <w:r>
        <w:rPr>
          <w:rtl/>
        </w:rPr>
        <w:t>עושין</w:t>
      </w:r>
      <w:proofErr w:type="spellEnd"/>
      <w:r>
        <w:rPr>
          <w:rtl/>
        </w:rPr>
        <w:t xml:space="preserve"> בשמחה </w:t>
      </w:r>
      <w:r>
        <w:rPr>
          <w:rFonts w:hint="cs"/>
          <w:rtl/>
        </w:rPr>
        <w:t>'</w:t>
      </w:r>
      <w:proofErr w:type="spellStart"/>
      <w:r>
        <w:rPr>
          <w:rtl/>
        </w:rPr>
        <w:t>דליכא</w:t>
      </w:r>
      <w:proofErr w:type="spellEnd"/>
      <w:r>
        <w:rPr>
          <w:rtl/>
        </w:rPr>
        <w:t xml:space="preserve"> כתובה דלא רמי ביה </w:t>
      </w:r>
      <w:proofErr w:type="spellStart"/>
      <w:r>
        <w:rPr>
          <w:rtl/>
        </w:rPr>
        <w:t>תיגרא</w:t>
      </w:r>
      <w:proofErr w:type="spellEnd"/>
      <w:r>
        <w:rPr>
          <w:rFonts w:hint="cs"/>
          <w:rtl/>
        </w:rPr>
        <w:t>'</w:t>
      </w:r>
      <w:r>
        <w:rPr>
          <w:rtl/>
        </w:rPr>
        <w:t xml:space="preserve">. </w:t>
      </w:r>
      <w:proofErr w:type="spellStart"/>
      <w:r>
        <w:rPr>
          <w:rtl/>
        </w:rPr>
        <w:t>והענין</w:t>
      </w:r>
      <w:proofErr w:type="spellEnd"/>
      <w:r>
        <w:rPr>
          <w:rtl/>
        </w:rPr>
        <w:t xml:space="preserve"> כי יותר ישמחו בקרובים בשאר בשרם וכן מצינו בקין והבל שכל אחד נשא תאומה שנולדה עמו</w:t>
      </w:r>
      <w:r>
        <w:rPr>
          <w:rFonts w:hint="cs"/>
          <w:rtl/>
        </w:rPr>
        <w:t>,</w:t>
      </w:r>
      <w:r>
        <w:rPr>
          <w:rtl/>
        </w:rPr>
        <w:t xml:space="preserve"> ויותר מזה באדם עצמו </w:t>
      </w:r>
      <w:proofErr w:type="spellStart"/>
      <w:r>
        <w:rPr>
          <w:rtl/>
        </w:rPr>
        <w:t>שהיתה</w:t>
      </w:r>
      <w:proofErr w:type="spellEnd"/>
      <w:r>
        <w:rPr>
          <w:rtl/>
        </w:rPr>
        <w:t xml:space="preserve"> מגופו ממש</w:t>
      </w:r>
      <w:r>
        <w:rPr>
          <w:rFonts w:hint="cs"/>
          <w:rtl/>
        </w:rPr>
        <w:t>,</w:t>
      </w:r>
      <w:r>
        <w:rPr>
          <w:rtl/>
        </w:rPr>
        <w:t xml:space="preserve"> כמ"ש </w:t>
      </w:r>
      <w:r>
        <w:rPr>
          <w:rFonts w:hint="cs"/>
          <w:rtl/>
        </w:rPr>
        <w:t>'</w:t>
      </w:r>
      <w:r>
        <w:rPr>
          <w:rtl/>
        </w:rPr>
        <w:t>זאת הפעם עצם מעצמי</w:t>
      </w:r>
      <w:r>
        <w:rPr>
          <w:rFonts w:hint="cs"/>
          <w:rtl/>
        </w:rPr>
        <w:t>'</w:t>
      </w:r>
      <w:r>
        <w:rPr>
          <w:rtl/>
        </w:rPr>
        <w:t xml:space="preserve">. ועוד אמרו חז"ל </w:t>
      </w:r>
      <w:r>
        <w:rPr>
          <w:rFonts w:hint="cs"/>
          <w:rtl/>
        </w:rPr>
        <w:t>'</w:t>
      </w:r>
      <w:r>
        <w:rPr>
          <w:rtl/>
        </w:rPr>
        <w:t>קשה לזווגם כקריעת ים סוף</w:t>
      </w:r>
      <w:r>
        <w:rPr>
          <w:rFonts w:hint="cs"/>
          <w:rtl/>
        </w:rPr>
        <w:t>',</w:t>
      </w:r>
      <w:r>
        <w:rPr>
          <w:rtl/>
        </w:rPr>
        <w:t xml:space="preserve"> יש לפרש מפני </w:t>
      </w:r>
      <w:proofErr w:type="spellStart"/>
      <w:r>
        <w:rPr>
          <w:rtl/>
        </w:rPr>
        <w:t>שמצינו</w:t>
      </w:r>
      <w:proofErr w:type="spellEnd"/>
      <w:r>
        <w:rPr>
          <w:rtl/>
        </w:rPr>
        <w:t xml:space="preserve"> הנס בקריעת ים סוף יותר מבקיעת הירדן</w:t>
      </w:r>
      <w:r>
        <w:rPr>
          <w:rFonts w:hint="cs"/>
          <w:rtl/>
        </w:rPr>
        <w:t>,</w:t>
      </w:r>
      <w:r>
        <w:rPr>
          <w:rtl/>
        </w:rPr>
        <w:t xml:space="preserve"> </w:t>
      </w:r>
      <w:proofErr w:type="spellStart"/>
      <w:r>
        <w:rPr>
          <w:rtl/>
        </w:rPr>
        <w:t>דבירדן</w:t>
      </w:r>
      <w:proofErr w:type="spellEnd"/>
      <w:r>
        <w:rPr>
          <w:rtl/>
        </w:rPr>
        <w:t xml:space="preserve"> כתיב </w:t>
      </w:r>
      <w:r>
        <w:rPr>
          <w:rFonts w:hint="cs"/>
          <w:rtl/>
        </w:rPr>
        <w:t>'</w:t>
      </w:r>
      <w:r>
        <w:rPr>
          <w:rtl/>
        </w:rPr>
        <w:t>ויעמדו המים היורדים מלמעלה קמו נד אחד והיורדים תמו נכרתו</w:t>
      </w:r>
      <w:r>
        <w:rPr>
          <w:rFonts w:hint="cs"/>
          <w:rtl/>
        </w:rPr>
        <w:t>'</w:t>
      </w:r>
      <w:r>
        <w:rPr>
          <w:rtl/>
        </w:rPr>
        <w:t xml:space="preserve">, ופרש רש"י </w:t>
      </w:r>
      <w:r>
        <w:rPr>
          <w:rFonts w:hint="cs"/>
          <w:rtl/>
        </w:rPr>
        <w:t>'</w:t>
      </w:r>
      <w:r>
        <w:rPr>
          <w:rtl/>
        </w:rPr>
        <w:t>כדרך הליכתן בכל הנחלים</w:t>
      </w:r>
      <w:r>
        <w:rPr>
          <w:rFonts w:hint="cs"/>
          <w:rtl/>
        </w:rPr>
        <w:t>'</w:t>
      </w:r>
      <w:r>
        <w:rPr>
          <w:rtl/>
        </w:rPr>
        <w:t xml:space="preserve">. נמצא לא היה הנס אלא אחד, אבל בקריעת ים סוף כתיב והמים להם </w:t>
      </w:r>
      <w:r>
        <w:rPr>
          <w:rFonts w:hint="cs"/>
          <w:rtl/>
        </w:rPr>
        <w:t>'</w:t>
      </w:r>
      <w:r>
        <w:rPr>
          <w:rtl/>
        </w:rPr>
        <w:t>חומה מימינם ומשמאלם</w:t>
      </w:r>
      <w:r>
        <w:rPr>
          <w:rFonts w:hint="cs"/>
          <w:rtl/>
        </w:rPr>
        <w:t>'...</w:t>
      </w:r>
      <w:r>
        <w:rPr>
          <w:rtl/>
        </w:rPr>
        <w:t xml:space="preserve"> א</w:t>
      </w:r>
      <w:r>
        <w:rPr>
          <w:rFonts w:hint="cs"/>
          <w:rtl/>
        </w:rPr>
        <w:t>ם כן</w:t>
      </w:r>
      <w:r>
        <w:rPr>
          <w:rtl/>
        </w:rPr>
        <w:t xml:space="preserve"> היה הנס משני צדדים. וכן קשה לזווגם משני צדדים מחמת שהם רחוקים זה מזה משאר בשרם לכך אנו שואלים שישמח הקב"ה חתן וכלה שאינם קרובים משאר בשרם כשמחת אדם הראשון </w:t>
      </w:r>
      <w:proofErr w:type="spellStart"/>
      <w:r>
        <w:rPr>
          <w:rtl/>
        </w:rPr>
        <w:t>שהיתה</w:t>
      </w:r>
      <w:proofErr w:type="spellEnd"/>
      <w:r>
        <w:rPr>
          <w:rtl/>
        </w:rPr>
        <w:t xml:space="preserve"> מגופו ממש</w:t>
      </w:r>
      <w:r>
        <w:rPr>
          <w:rFonts w:hint="cs"/>
          <w:rtl/>
        </w:rPr>
        <w:t>".</w:t>
      </w:r>
    </w:p>
  </w:endnote>
  <w:endnote w:id="7">
    <w:p w:rsidR="008F6F84" w:rsidRDefault="008F6F84" w:rsidP="008F6F84">
      <w:pPr>
        <w:pStyle w:val="a5"/>
        <w:rPr>
          <w:rFonts w:hint="cs"/>
        </w:rPr>
      </w:pPr>
      <w:r>
        <w:rPr>
          <w:rtl/>
        </w:rPr>
        <w:tab/>
      </w:r>
      <w:r w:rsidRPr="00944A81">
        <w:rPr>
          <w:rtl/>
        </w:rPr>
        <w:endnoteRef/>
      </w:r>
      <w:r>
        <w:rPr>
          <w:rtl/>
        </w:rPr>
        <w:t>.</w:t>
      </w:r>
      <w:r>
        <w:rPr>
          <w:rtl/>
        </w:rPr>
        <w:tab/>
      </w:r>
      <w:r>
        <w:rPr>
          <w:rFonts w:hint="cs"/>
          <w:rtl/>
        </w:rPr>
        <w:t>בראשית רבה ה, ה.</w:t>
      </w:r>
    </w:p>
  </w:endnote>
  <w:endnote w:id="8">
    <w:p w:rsidR="008F6F84" w:rsidRDefault="008F6F84" w:rsidP="008F6F84">
      <w:pPr>
        <w:pStyle w:val="a5"/>
        <w:rPr>
          <w:rFonts w:hint="cs"/>
        </w:rPr>
      </w:pPr>
      <w:r>
        <w:rPr>
          <w:rtl/>
        </w:rPr>
        <w:tab/>
      </w:r>
      <w:r w:rsidRPr="00944A81">
        <w:rPr>
          <w:rtl/>
        </w:rPr>
        <w:endnoteRef/>
      </w:r>
      <w:r>
        <w:rPr>
          <w:rtl/>
        </w:rPr>
        <w:t>.</w:t>
      </w:r>
      <w:r>
        <w:rPr>
          <w:rtl/>
        </w:rPr>
        <w:tab/>
      </w:r>
      <w:r>
        <w:rPr>
          <w:rFonts w:hint="cs"/>
          <w:rtl/>
        </w:rPr>
        <w:t xml:space="preserve">שמות רבה </w:t>
      </w:r>
      <w:proofErr w:type="spellStart"/>
      <w:r>
        <w:rPr>
          <w:rFonts w:hint="cs"/>
          <w:rtl/>
        </w:rPr>
        <w:t>כא</w:t>
      </w:r>
      <w:proofErr w:type="spellEnd"/>
      <w:r>
        <w:rPr>
          <w:rFonts w:hint="cs"/>
          <w:rtl/>
        </w:rPr>
        <w:t>, ו.</w:t>
      </w:r>
    </w:p>
  </w:endnote>
  <w:endnote w:id="9">
    <w:p w:rsidR="008F6F84" w:rsidRDefault="008F6F84" w:rsidP="008F6F84">
      <w:pPr>
        <w:pStyle w:val="a5"/>
        <w:rPr>
          <w:rFonts w:hint="cs"/>
          <w:rtl/>
        </w:rPr>
      </w:pPr>
      <w:r>
        <w:rPr>
          <w:rtl/>
        </w:rPr>
        <w:tab/>
      </w:r>
      <w:r w:rsidRPr="00944A81">
        <w:rPr>
          <w:rtl/>
        </w:rPr>
        <w:endnoteRef/>
      </w:r>
      <w:r>
        <w:rPr>
          <w:rtl/>
        </w:rPr>
        <w:t>.</w:t>
      </w:r>
      <w:r>
        <w:rPr>
          <w:rtl/>
        </w:rPr>
        <w:tab/>
      </w:r>
      <w:r>
        <w:rPr>
          <w:rFonts w:hint="cs"/>
          <w:rtl/>
        </w:rPr>
        <w:t>בראשית לו, לא ואילך.</w:t>
      </w:r>
    </w:p>
  </w:endnote>
  <w:endnote w:id="10">
    <w:p w:rsidR="008F6F84" w:rsidRDefault="008F6F84" w:rsidP="008F6F84">
      <w:pPr>
        <w:pStyle w:val="a5"/>
        <w:rPr>
          <w:rFonts w:hint="cs"/>
        </w:rPr>
      </w:pPr>
      <w:r>
        <w:rPr>
          <w:rtl/>
        </w:rPr>
        <w:tab/>
      </w:r>
      <w:r w:rsidRPr="00944A81">
        <w:rPr>
          <w:rtl/>
        </w:rPr>
        <w:endnoteRef/>
      </w:r>
      <w:r>
        <w:rPr>
          <w:rtl/>
        </w:rPr>
        <w:t>.</w:t>
      </w:r>
      <w:r>
        <w:rPr>
          <w:rtl/>
        </w:rPr>
        <w:tab/>
      </w:r>
      <w:r>
        <w:rPr>
          <w:rFonts w:hint="cs"/>
          <w:rtl/>
        </w:rPr>
        <w:t xml:space="preserve">ראה יבמות סב, א </w:t>
      </w:r>
      <w:proofErr w:type="spellStart"/>
      <w:r>
        <w:rPr>
          <w:rFonts w:hint="cs"/>
          <w:rtl/>
        </w:rPr>
        <w:t>וש"נ</w:t>
      </w:r>
      <w:proofErr w:type="spellEnd"/>
      <w:r>
        <w:rPr>
          <w:rFonts w:hint="cs"/>
          <w:rtl/>
        </w:rPr>
        <w:t>.</w:t>
      </w:r>
    </w:p>
  </w:endnote>
  <w:endnote w:id="11">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ישעיה מה, </w:t>
      </w:r>
      <w:proofErr w:type="spellStart"/>
      <w:r>
        <w:rPr>
          <w:rFonts w:hint="cs"/>
          <w:rtl/>
        </w:rPr>
        <w:t>יח</w:t>
      </w:r>
      <w:proofErr w:type="spellEnd"/>
      <w:r>
        <w:rPr>
          <w:rFonts w:hint="cs"/>
          <w:rtl/>
        </w:rPr>
        <w:t>.</w:t>
      </w:r>
    </w:p>
  </w:endnote>
  <w:endnote w:id="12">
    <w:p w:rsidR="008F6F84" w:rsidRDefault="008F6F84" w:rsidP="008F6F84">
      <w:pPr>
        <w:pStyle w:val="a5"/>
        <w:rPr>
          <w:rFonts w:hint="cs"/>
        </w:rPr>
      </w:pPr>
      <w:r>
        <w:rPr>
          <w:rtl/>
        </w:rPr>
        <w:tab/>
      </w:r>
      <w:r w:rsidRPr="00944A81">
        <w:rPr>
          <w:rtl/>
        </w:rPr>
        <w:endnoteRef/>
      </w:r>
      <w:r>
        <w:rPr>
          <w:rtl/>
        </w:rPr>
        <w:t>.</w:t>
      </w:r>
      <w:r>
        <w:rPr>
          <w:rtl/>
        </w:rPr>
        <w:tab/>
      </w:r>
      <w:r>
        <w:rPr>
          <w:rFonts w:hint="cs"/>
          <w:rtl/>
        </w:rPr>
        <w:t>בראשית לו, לט.</w:t>
      </w:r>
    </w:p>
  </w:endnote>
  <w:endnote w:id="13">
    <w:p w:rsidR="008F6F84" w:rsidRPr="0056432A" w:rsidRDefault="008F6F84" w:rsidP="008F6F84">
      <w:pPr>
        <w:pStyle w:val="a5"/>
        <w:rPr>
          <w:rFonts w:hint="cs"/>
          <w:rtl/>
        </w:rPr>
      </w:pPr>
      <w:r>
        <w:rPr>
          <w:rtl/>
        </w:rPr>
        <w:tab/>
      </w:r>
      <w:r w:rsidRPr="00944A81">
        <w:rPr>
          <w:rtl/>
        </w:rPr>
        <w:endnoteRef/>
      </w:r>
      <w:r>
        <w:rPr>
          <w:rtl/>
        </w:rPr>
        <w:t>.</w:t>
      </w:r>
      <w:r>
        <w:rPr>
          <w:rtl/>
        </w:rPr>
        <w:tab/>
      </w:r>
      <w:r w:rsidRPr="0056432A">
        <w:rPr>
          <w:rFonts w:hint="cs"/>
          <w:rtl/>
        </w:rPr>
        <w:t xml:space="preserve">ראה גם </w:t>
      </w:r>
      <w:r>
        <w:rPr>
          <w:rFonts w:hint="cs"/>
          <w:rtl/>
        </w:rPr>
        <w:t xml:space="preserve">הטבע היהודי עמ' </w:t>
      </w:r>
      <w:proofErr w:type="spellStart"/>
      <w:r>
        <w:rPr>
          <w:rFonts w:hint="cs"/>
          <w:rtl/>
        </w:rPr>
        <w:t>קמ</w:t>
      </w:r>
      <w:proofErr w:type="spellEnd"/>
      <w:r>
        <w:rPr>
          <w:rFonts w:hint="cs"/>
          <w:rtl/>
        </w:rPr>
        <w:t xml:space="preserve"> </w:t>
      </w:r>
      <w:proofErr w:type="spellStart"/>
      <w:r>
        <w:rPr>
          <w:rFonts w:hint="cs"/>
          <w:rtl/>
        </w:rPr>
        <w:t>ובכ"מ</w:t>
      </w:r>
      <w:proofErr w:type="spellEnd"/>
      <w:r w:rsidRPr="0056432A">
        <w:rPr>
          <w:rFonts w:hint="cs"/>
          <w:rtl/>
        </w:rPr>
        <w:t xml:space="preserve">. </w:t>
      </w:r>
      <w:r w:rsidRPr="0056432A">
        <w:rPr>
          <w:rFonts w:hint="cs"/>
          <w:b/>
          <w:bCs/>
          <w:sz w:val="24"/>
          <w:szCs w:val="24"/>
          <w:rtl/>
        </w:rPr>
        <w:t>אמת</w:t>
      </w:r>
      <w:r w:rsidRPr="0056432A">
        <w:rPr>
          <w:rFonts w:hint="cs"/>
          <w:rtl/>
        </w:rPr>
        <w:t xml:space="preserve"> עולה </w:t>
      </w:r>
      <w:r w:rsidRPr="0056432A">
        <w:rPr>
          <w:rFonts w:hint="cs"/>
          <w:b/>
          <w:bCs/>
          <w:sz w:val="24"/>
          <w:szCs w:val="24"/>
          <w:rtl/>
        </w:rPr>
        <w:t>אהיה</w:t>
      </w:r>
      <w:r w:rsidRPr="0056432A">
        <w:rPr>
          <w:rFonts w:hint="cs"/>
          <w:rtl/>
        </w:rPr>
        <w:t xml:space="preserve"> ברבוע, </w:t>
      </w:r>
      <w:proofErr w:type="spellStart"/>
      <w:r w:rsidRPr="0056432A">
        <w:rPr>
          <w:rFonts w:hint="cs"/>
          <w:rtl/>
        </w:rPr>
        <w:t>ומכיון</w:t>
      </w:r>
      <w:proofErr w:type="spellEnd"/>
      <w:r w:rsidRPr="0056432A">
        <w:rPr>
          <w:rFonts w:hint="cs"/>
          <w:rtl/>
        </w:rPr>
        <w:t xml:space="preserve"> שבטבע הראשון "אין </w:t>
      </w:r>
      <w:r>
        <w:rPr>
          <w:rFonts w:hint="cs"/>
          <w:rtl/>
        </w:rPr>
        <w:t xml:space="preserve">מרובע </w:t>
      </w:r>
      <w:r w:rsidRPr="0056432A">
        <w:rPr>
          <w:rFonts w:hint="cs"/>
          <w:rtl/>
        </w:rPr>
        <w:t>במעשה בראשית" (</w:t>
      </w:r>
      <w:r>
        <w:rPr>
          <w:rFonts w:hint="cs"/>
          <w:rtl/>
        </w:rPr>
        <w:t xml:space="preserve">ירושלמי מעשרות פ"ה </w:t>
      </w:r>
      <w:proofErr w:type="spellStart"/>
      <w:r>
        <w:rPr>
          <w:rFonts w:hint="cs"/>
          <w:rtl/>
        </w:rPr>
        <w:t>ה"ג</w:t>
      </w:r>
      <w:proofErr w:type="spellEnd"/>
      <w:r>
        <w:rPr>
          <w:rFonts w:hint="cs"/>
          <w:rtl/>
        </w:rPr>
        <w:t xml:space="preserve"> ובכ"ד</w:t>
      </w:r>
      <w:r w:rsidRPr="0056432A">
        <w:rPr>
          <w:rFonts w:hint="cs"/>
          <w:rtl/>
        </w:rPr>
        <w:t>) הרי הרבוע שייך ל</w:t>
      </w:r>
      <w:r w:rsidRPr="0056432A">
        <w:rPr>
          <w:rFonts w:hint="cs"/>
          <w:b/>
          <w:bCs/>
          <w:sz w:val="24"/>
          <w:szCs w:val="24"/>
          <w:rtl/>
        </w:rPr>
        <w:t>טבע</w:t>
      </w:r>
      <w:r w:rsidRPr="0056432A">
        <w:rPr>
          <w:rFonts w:hint="cs"/>
          <w:rtl/>
        </w:rPr>
        <w:t xml:space="preserve"> </w:t>
      </w:r>
      <w:r w:rsidRPr="0056432A">
        <w:rPr>
          <w:rFonts w:hint="cs"/>
          <w:b/>
          <w:bCs/>
          <w:sz w:val="24"/>
          <w:szCs w:val="24"/>
          <w:rtl/>
        </w:rPr>
        <w:t>שני</w:t>
      </w:r>
      <w:r w:rsidRPr="0056432A">
        <w:rPr>
          <w:rFonts w:hint="cs"/>
          <w:rtl/>
        </w:rPr>
        <w:t xml:space="preserve">. תכלית בריאת הטבע הראשון היא להגיע בסופו של דבר לאמת של הטבע השני, כרמוז בסופי התיבות של חותם מעשה בראשית </w:t>
      </w:r>
      <w:r w:rsidRPr="0056432A">
        <w:rPr>
          <w:rtl/>
        </w:rPr>
        <w:t>–</w:t>
      </w:r>
      <w:r w:rsidRPr="0056432A">
        <w:rPr>
          <w:rFonts w:hint="cs"/>
          <w:rtl/>
        </w:rPr>
        <w:t xml:space="preserve"> "בר</w:t>
      </w:r>
      <w:r w:rsidRPr="0056432A">
        <w:rPr>
          <w:rFonts w:hint="cs"/>
          <w:b/>
          <w:bCs/>
          <w:sz w:val="24"/>
          <w:szCs w:val="24"/>
          <w:rtl/>
        </w:rPr>
        <w:t>א</w:t>
      </w:r>
      <w:r w:rsidRPr="0056432A">
        <w:rPr>
          <w:rFonts w:hint="cs"/>
          <w:rtl/>
        </w:rPr>
        <w:t xml:space="preserve"> </w:t>
      </w:r>
      <w:proofErr w:type="spellStart"/>
      <w:r w:rsidRPr="0056432A">
        <w:rPr>
          <w:rFonts w:hint="cs"/>
          <w:rtl/>
        </w:rPr>
        <w:t>אלהי</w:t>
      </w:r>
      <w:r w:rsidRPr="0056432A">
        <w:rPr>
          <w:rFonts w:hint="cs"/>
          <w:b/>
          <w:bCs/>
          <w:sz w:val="24"/>
          <w:szCs w:val="24"/>
          <w:rtl/>
        </w:rPr>
        <w:t>ם</w:t>
      </w:r>
      <w:proofErr w:type="spellEnd"/>
      <w:r w:rsidRPr="0056432A">
        <w:rPr>
          <w:rFonts w:hint="cs"/>
          <w:rtl/>
        </w:rPr>
        <w:t xml:space="preserve"> לעשו</w:t>
      </w:r>
      <w:r w:rsidRPr="0056432A">
        <w:rPr>
          <w:rFonts w:hint="cs"/>
          <w:b/>
          <w:bCs/>
          <w:sz w:val="24"/>
          <w:szCs w:val="24"/>
          <w:rtl/>
        </w:rPr>
        <w:t>ת</w:t>
      </w:r>
      <w:r w:rsidRPr="0056432A">
        <w:rPr>
          <w:rFonts w:hint="cs"/>
          <w:rtl/>
        </w:rPr>
        <w:t>" (</w:t>
      </w:r>
      <w:r>
        <w:rPr>
          <w:rFonts w:hint="cs"/>
          <w:rtl/>
        </w:rPr>
        <w:t>בראשית ב, ג</w:t>
      </w:r>
      <w:r w:rsidRPr="0056432A">
        <w:rPr>
          <w:rFonts w:hint="cs"/>
          <w:rtl/>
        </w:rPr>
        <w:t xml:space="preserve">; בכל מעשה בראשית יש </w:t>
      </w:r>
      <w:r w:rsidRPr="0056432A">
        <w:rPr>
          <w:rFonts w:hint="cs"/>
          <w:b/>
          <w:bCs/>
          <w:sz w:val="24"/>
          <w:szCs w:val="24"/>
          <w:rtl/>
        </w:rPr>
        <w:t>ו</w:t>
      </w:r>
      <w:r w:rsidRPr="0056432A">
        <w:rPr>
          <w:rFonts w:hint="cs"/>
          <w:rtl/>
        </w:rPr>
        <w:t xml:space="preserve"> פעמים סופי תיבות </w:t>
      </w:r>
      <w:r w:rsidRPr="0056432A">
        <w:rPr>
          <w:rFonts w:hint="cs"/>
          <w:b/>
          <w:bCs/>
          <w:sz w:val="24"/>
          <w:szCs w:val="24"/>
          <w:rtl/>
        </w:rPr>
        <w:t>אמת</w:t>
      </w:r>
      <w:r w:rsidRPr="0056432A">
        <w:rPr>
          <w:rFonts w:hint="cs"/>
          <w:rtl/>
        </w:rPr>
        <w:t xml:space="preserve">, בצירופים שונים, כנגד </w:t>
      </w:r>
      <w:r w:rsidRPr="0056432A">
        <w:rPr>
          <w:rFonts w:hint="cs"/>
          <w:b/>
          <w:bCs/>
          <w:sz w:val="24"/>
          <w:szCs w:val="24"/>
          <w:rtl/>
        </w:rPr>
        <w:t>ו</w:t>
      </w:r>
      <w:r w:rsidRPr="0056432A">
        <w:rPr>
          <w:rFonts w:hint="cs"/>
          <w:rtl/>
        </w:rPr>
        <w:t xml:space="preserve"> צירופי המלה </w:t>
      </w:r>
      <w:r w:rsidRPr="0056432A">
        <w:rPr>
          <w:rFonts w:hint="cs"/>
          <w:b/>
          <w:bCs/>
          <w:sz w:val="24"/>
          <w:szCs w:val="24"/>
          <w:rtl/>
        </w:rPr>
        <w:t>אמת</w:t>
      </w:r>
      <w:r w:rsidRPr="0056432A">
        <w:rPr>
          <w:rFonts w:hint="cs"/>
          <w:rtl/>
        </w:rPr>
        <w:t>, וכן המספר שש שייך לספירת היסוד שפנימיותה מדת האמת).</w:t>
      </w:r>
    </w:p>
  </w:endnote>
  <w:endnote w:id="14">
    <w:p w:rsidR="008F6F84" w:rsidRDefault="008F6F84" w:rsidP="008F6F84">
      <w:pPr>
        <w:pStyle w:val="a5"/>
        <w:rPr>
          <w:rFonts w:hint="cs"/>
          <w:rtl/>
        </w:rPr>
      </w:pPr>
      <w:r>
        <w:rPr>
          <w:rtl/>
        </w:rPr>
        <w:tab/>
      </w:r>
      <w:r w:rsidRPr="00944A81">
        <w:rPr>
          <w:rtl/>
        </w:rPr>
        <w:endnoteRef/>
      </w:r>
      <w:r>
        <w:rPr>
          <w:rtl/>
        </w:rPr>
        <w:t>.</w:t>
      </w:r>
      <w:r>
        <w:rPr>
          <w:rtl/>
        </w:rPr>
        <w:tab/>
      </w:r>
      <w:r>
        <w:rPr>
          <w:rFonts w:hint="cs"/>
          <w:rtl/>
        </w:rPr>
        <w:t>קהלת ט, ט.</w:t>
      </w:r>
    </w:p>
  </w:endnote>
  <w:endnote w:id="15">
    <w:p w:rsidR="008F6F84" w:rsidRDefault="008F6F84" w:rsidP="008F6F84">
      <w:pPr>
        <w:pStyle w:val="a5"/>
        <w:rPr>
          <w:rFonts w:hint="cs"/>
          <w:rtl/>
        </w:rPr>
      </w:pPr>
      <w:r>
        <w:rPr>
          <w:rtl/>
        </w:rPr>
        <w:tab/>
      </w:r>
      <w:r w:rsidRPr="00944A81">
        <w:rPr>
          <w:rtl/>
        </w:rPr>
        <w:endnoteRef/>
      </w:r>
      <w:r>
        <w:rPr>
          <w:rtl/>
        </w:rPr>
        <w:t>.</w:t>
      </w:r>
      <w:r>
        <w:rPr>
          <w:rtl/>
        </w:rPr>
        <w:tab/>
      </w:r>
      <w:r>
        <w:rPr>
          <w:rFonts w:hint="cs"/>
          <w:rtl/>
        </w:rPr>
        <w:t>שיר השירים ז, ז.</w:t>
      </w:r>
    </w:p>
  </w:endnote>
  <w:endnote w:id="16">
    <w:p w:rsidR="008F6F84" w:rsidRDefault="008F6F84" w:rsidP="008F6F84">
      <w:pPr>
        <w:pStyle w:val="a5"/>
        <w:rPr>
          <w:rFonts w:hint="cs"/>
          <w:rtl/>
        </w:rPr>
      </w:pPr>
      <w:r>
        <w:rPr>
          <w:rtl/>
        </w:rPr>
        <w:tab/>
      </w:r>
      <w:r w:rsidRPr="00944A81">
        <w:rPr>
          <w:rtl/>
        </w:rPr>
        <w:endnoteRef/>
      </w:r>
      <w:r>
        <w:rPr>
          <w:rtl/>
        </w:rPr>
        <w:t>.</w:t>
      </w:r>
      <w:r>
        <w:rPr>
          <w:rtl/>
        </w:rPr>
        <w:tab/>
      </w:r>
      <w:r>
        <w:rPr>
          <w:rFonts w:hint="cs"/>
          <w:rtl/>
        </w:rPr>
        <w:t>תהלים ס, ו.</w:t>
      </w:r>
    </w:p>
  </w:endnote>
  <w:endnote w:id="17">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כתובות מח, א </w:t>
      </w:r>
      <w:proofErr w:type="spellStart"/>
      <w:r>
        <w:rPr>
          <w:rFonts w:hint="cs"/>
          <w:rtl/>
        </w:rPr>
        <w:t>וש"נ</w:t>
      </w:r>
      <w:proofErr w:type="spellEnd"/>
      <w:r>
        <w:rPr>
          <w:rFonts w:hint="cs"/>
          <w:rtl/>
        </w:rPr>
        <w:t>.</w:t>
      </w:r>
    </w:p>
  </w:endnote>
  <w:endnote w:id="18">
    <w:p w:rsidR="008F6F84" w:rsidRDefault="008F6F84" w:rsidP="008F6F84">
      <w:pPr>
        <w:pStyle w:val="a5"/>
        <w:rPr>
          <w:rFonts w:hint="cs"/>
        </w:rPr>
      </w:pPr>
      <w:r>
        <w:rPr>
          <w:rtl/>
        </w:rPr>
        <w:tab/>
      </w:r>
      <w:r w:rsidRPr="00944A81">
        <w:rPr>
          <w:rtl/>
        </w:rPr>
        <w:endnoteRef/>
      </w:r>
      <w:r>
        <w:rPr>
          <w:rtl/>
        </w:rPr>
        <w:t>.</w:t>
      </w:r>
      <w:r>
        <w:rPr>
          <w:rtl/>
        </w:rPr>
        <w:tab/>
      </w:r>
      <w:r>
        <w:rPr>
          <w:rFonts w:hint="cs"/>
          <w:rtl/>
        </w:rPr>
        <w:t>נוסח ברכת מחיה המתים. ראה עוד לקמן בתורה "סומך נופלים".</w:t>
      </w:r>
    </w:p>
  </w:endnote>
  <w:endnote w:id="19">
    <w:p w:rsidR="008F6F84" w:rsidRDefault="008F6F84" w:rsidP="008F6F84">
      <w:pPr>
        <w:pStyle w:val="a5"/>
        <w:rPr>
          <w:rFonts w:hint="cs"/>
          <w:rtl/>
        </w:rPr>
      </w:pPr>
      <w:r>
        <w:rPr>
          <w:rtl/>
        </w:rPr>
        <w:tab/>
      </w:r>
      <w:r w:rsidRPr="00944A81">
        <w:rPr>
          <w:rtl/>
        </w:rPr>
        <w:endnoteRef/>
      </w:r>
      <w:r>
        <w:rPr>
          <w:rtl/>
        </w:rPr>
        <w:t>.</w:t>
      </w:r>
      <w:r>
        <w:rPr>
          <w:rtl/>
        </w:rPr>
        <w:tab/>
      </w:r>
      <w:r>
        <w:rPr>
          <w:rFonts w:hint="cs"/>
          <w:rtl/>
        </w:rPr>
        <w:t xml:space="preserve">ראה גם יין משמח </w:t>
      </w:r>
      <w:proofErr w:type="spellStart"/>
      <w:r>
        <w:rPr>
          <w:rFonts w:hint="cs"/>
          <w:rtl/>
        </w:rPr>
        <w:t>ח"ב</w:t>
      </w:r>
      <w:proofErr w:type="spellEnd"/>
      <w:r>
        <w:rPr>
          <w:rFonts w:hint="cs"/>
          <w:rtl/>
        </w:rPr>
        <w:t xml:space="preserve"> שער א בתורה "כמים הפנים לפנים".</w:t>
      </w:r>
    </w:p>
  </w:endnote>
  <w:endnote w:id="20">
    <w:p w:rsidR="008F6F84" w:rsidRDefault="008F6F84" w:rsidP="008F6F84">
      <w:pPr>
        <w:pStyle w:val="a5"/>
        <w:rPr>
          <w:rFonts w:hint="cs"/>
        </w:rPr>
      </w:pPr>
      <w:r>
        <w:rPr>
          <w:rtl/>
        </w:rPr>
        <w:tab/>
      </w:r>
      <w:r w:rsidRPr="00944A81">
        <w:rPr>
          <w:rtl/>
        </w:rPr>
        <w:endnoteRef/>
      </w:r>
      <w:r>
        <w:rPr>
          <w:rtl/>
        </w:rPr>
        <w:t>.</w:t>
      </w:r>
      <w:r>
        <w:rPr>
          <w:rtl/>
        </w:rPr>
        <w:tab/>
      </w:r>
      <w:r>
        <w:rPr>
          <w:rFonts w:hint="cs"/>
          <w:rtl/>
        </w:rPr>
        <w:t xml:space="preserve">ראה גם יין משמח </w:t>
      </w:r>
      <w:proofErr w:type="spellStart"/>
      <w:r>
        <w:rPr>
          <w:rFonts w:hint="cs"/>
          <w:rtl/>
        </w:rPr>
        <w:t>ח"ג</w:t>
      </w:r>
      <w:proofErr w:type="spellEnd"/>
      <w:r>
        <w:rPr>
          <w:rFonts w:hint="cs"/>
          <w:rtl/>
        </w:rPr>
        <w:t xml:space="preserve"> שער ו בתורה "וכל החיים </w:t>
      </w:r>
      <w:proofErr w:type="spellStart"/>
      <w:r>
        <w:rPr>
          <w:rFonts w:hint="cs"/>
          <w:rtl/>
        </w:rPr>
        <w:t>יודוך</w:t>
      </w:r>
      <w:proofErr w:type="spellEnd"/>
      <w:r>
        <w:rPr>
          <w:rFonts w:hint="cs"/>
          <w:rtl/>
        </w:rPr>
        <w:t xml:space="preserve"> סלה" (ובכללות השער שם).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2D1" w:rsidRDefault="000B42D1" w:rsidP="008F6F84">
      <w:pPr>
        <w:spacing w:after="0" w:line="240" w:lineRule="auto"/>
      </w:pPr>
      <w:r>
        <w:separator/>
      </w:r>
    </w:p>
  </w:footnote>
  <w:footnote w:type="continuationSeparator" w:id="0">
    <w:p w:rsidR="000B42D1" w:rsidRDefault="000B42D1" w:rsidP="008F6F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C"/>
    <w:rsid w:val="00061E65"/>
    <w:rsid w:val="000B42D1"/>
    <w:rsid w:val="008F6F84"/>
    <w:rsid w:val="00AC2310"/>
    <w:rsid w:val="00B422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F6F8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F6F8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F6F8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F6F84"/>
    <w:rPr>
      <w:noProof/>
      <w:position w:val="-4"/>
      <w:szCs w:val="26"/>
      <w:vertAlign w:val="superscript"/>
    </w:rPr>
  </w:style>
  <w:style w:type="character" w:customStyle="1" w:styleId="a4">
    <w:name w:val="מרים"/>
    <w:basedOn w:val="a0"/>
    <w:rsid w:val="008F6F84"/>
    <w:rPr>
      <w:rFonts w:cs="MiriamMFO"/>
      <w:w w:val="100"/>
      <w:sz w:val="21"/>
      <w:szCs w:val="23"/>
    </w:rPr>
  </w:style>
  <w:style w:type="paragraph" w:styleId="a5">
    <w:name w:val="endnote text"/>
    <w:aliases w:val="Endnote Text"/>
    <w:basedOn w:val="a"/>
    <w:link w:val="a6"/>
    <w:semiHidden/>
    <w:rsid w:val="008F6F84"/>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8F6F84"/>
    <w:rPr>
      <w:rFonts w:ascii="Times New Roman" w:eastAsia="Times New Roman" w:hAnsi="Times New Roman" w:cs="oprFrank"/>
      <w:sz w:val="20"/>
      <w:szCs w:val="23"/>
      <w:lang w:eastAsia="he-IL"/>
    </w:rPr>
  </w:style>
  <w:style w:type="paragraph" w:customStyle="1" w:styleId="a7">
    <w:name w:val="פתיח תו"/>
    <w:basedOn w:val="a"/>
    <w:link w:val="a8"/>
    <w:rsid w:val="008F6F8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F6F8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F6F8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F6F8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F6F8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F6F84"/>
    <w:rPr>
      <w:noProof/>
      <w:position w:val="-4"/>
      <w:szCs w:val="26"/>
      <w:vertAlign w:val="superscript"/>
    </w:rPr>
  </w:style>
  <w:style w:type="character" w:customStyle="1" w:styleId="a4">
    <w:name w:val="מרים"/>
    <w:basedOn w:val="a0"/>
    <w:rsid w:val="008F6F84"/>
    <w:rPr>
      <w:rFonts w:cs="MiriamMFO"/>
      <w:w w:val="100"/>
      <w:sz w:val="21"/>
      <w:szCs w:val="23"/>
    </w:rPr>
  </w:style>
  <w:style w:type="paragraph" w:styleId="a5">
    <w:name w:val="endnote text"/>
    <w:aliases w:val="Endnote Text"/>
    <w:basedOn w:val="a"/>
    <w:link w:val="a6"/>
    <w:semiHidden/>
    <w:rsid w:val="008F6F84"/>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8F6F84"/>
    <w:rPr>
      <w:rFonts w:ascii="Times New Roman" w:eastAsia="Times New Roman" w:hAnsi="Times New Roman" w:cs="oprFrank"/>
      <w:sz w:val="20"/>
      <w:szCs w:val="23"/>
      <w:lang w:eastAsia="he-IL"/>
    </w:rPr>
  </w:style>
  <w:style w:type="paragraph" w:customStyle="1" w:styleId="a7">
    <w:name w:val="פתיח תו"/>
    <w:basedOn w:val="a"/>
    <w:link w:val="a8"/>
    <w:rsid w:val="008F6F8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F6F8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1890</Characters>
  <Application>Microsoft Office Word</Application>
  <DocSecurity>0</DocSecurity>
  <Lines>15</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2017-08-16T10:50:00Z</dcterms:created>
  <dcterms:modified xsi:type="dcterms:W3CDTF">2017-08-16T10:50:00Z</dcterms:modified>
</cp:coreProperties>
</file>