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F0" w:rsidRDefault="00FA55F0" w:rsidP="00FA55F0">
      <w:pPr>
        <w:pStyle w:val="2"/>
        <w:rPr>
          <w:rFonts w:hint="cs"/>
          <w:rtl/>
        </w:rPr>
      </w:pPr>
      <w:r>
        <w:rPr>
          <w:rFonts w:hint="cs"/>
          <w:rtl/>
        </w:rPr>
        <w:t>"הוי' נסי"</w:t>
      </w:r>
    </w:p>
    <w:p w:rsidR="00FA55F0" w:rsidRPr="006E34D4" w:rsidRDefault="00FA55F0" w:rsidP="00FA55F0">
      <w:pPr>
        <w:keepNext/>
        <w:framePr w:dropCap="drop" w:lines="3" w:h="1016" w:hRule="exact" w:hSpace="57" w:wrap="around" w:vAnchor="text" w:hAnchor="text" w:xAlign="right" w:y="-287"/>
        <w:spacing w:after="0" w:line="1016" w:lineRule="exact"/>
        <w:textAlignment w:val="baseline"/>
        <w:rPr>
          <w:rStyle w:val="a8"/>
          <w:position w:val="-12"/>
          <w:sz w:val="87"/>
          <w:szCs w:val="87"/>
          <w:rtl/>
        </w:rPr>
      </w:pPr>
      <w:r w:rsidRPr="006E34D4">
        <w:rPr>
          <w:rStyle w:val="a8"/>
          <w:rFonts w:hint="cs"/>
          <w:position w:val="-12"/>
          <w:sz w:val="87"/>
          <w:szCs w:val="87"/>
          <w:rtl/>
        </w:rPr>
        <w:t>ל</w:t>
      </w:r>
    </w:p>
    <w:p w:rsidR="00FA55F0" w:rsidRDefault="00FA55F0" w:rsidP="00FA55F0">
      <w:pPr>
        <w:rPr>
          <w:rFonts w:hint="cs"/>
          <w:rtl/>
        </w:rPr>
      </w:pPr>
      <w:r>
        <w:rPr>
          <w:rFonts w:hint="cs"/>
          <w:rtl/>
        </w:rPr>
        <w:t>אחר מלחמת עמלק נאמר "</w:t>
      </w:r>
      <w:proofErr w:type="spellStart"/>
      <w:r>
        <w:rPr>
          <w:rFonts w:hint="cs"/>
          <w:rtl/>
        </w:rPr>
        <w:t>ויבן</w:t>
      </w:r>
      <w:proofErr w:type="spellEnd"/>
      <w:r>
        <w:rPr>
          <w:rFonts w:hint="cs"/>
          <w:rtl/>
        </w:rPr>
        <w:t xml:space="preserve"> משה מזבח ויקרא שמו הוי' נסי"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 xml:space="preserve">. בתוך המלה </w:t>
      </w:r>
      <w:r w:rsidRPr="00A103FC">
        <w:rPr>
          <w:rFonts w:hint="cs"/>
          <w:b/>
          <w:bCs/>
          <w:sz w:val="28"/>
          <w:szCs w:val="28"/>
          <w:rtl/>
        </w:rPr>
        <w:t>נס</w:t>
      </w:r>
      <w:r>
        <w:rPr>
          <w:rFonts w:hint="cs"/>
          <w:rtl/>
        </w:rPr>
        <w:t xml:space="preserve"> רמוז שם </w:t>
      </w:r>
      <w:r w:rsidRPr="00A103FC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 xml:space="preserve">' ב"ה באופן מורכב: </w:t>
      </w:r>
      <w:r w:rsidRPr="00A103FC">
        <w:rPr>
          <w:rFonts w:hint="cs"/>
          <w:b/>
          <w:bCs/>
          <w:sz w:val="28"/>
          <w:szCs w:val="28"/>
          <w:rtl/>
        </w:rPr>
        <w:t>נ</w:t>
      </w:r>
      <w:r>
        <w:rPr>
          <w:rFonts w:hint="cs"/>
          <w:rtl/>
        </w:rPr>
        <w:t xml:space="preserve"> עולה </w:t>
      </w:r>
      <w:r w:rsidRPr="00A103FC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 xml:space="preserve"> פעמים </w:t>
      </w:r>
      <w:r w:rsidRPr="00A103FC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ואילו </w:t>
      </w:r>
      <w:r w:rsidRPr="00A103FC">
        <w:rPr>
          <w:rFonts w:hint="cs"/>
          <w:b/>
          <w:bCs/>
          <w:sz w:val="28"/>
          <w:szCs w:val="28"/>
          <w:rtl/>
        </w:rPr>
        <w:t>ס</w:t>
      </w:r>
      <w:r>
        <w:rPr>
          <w:rFonts w:hint="cs"/>
          <w:rtl/>
        </w:rPr>
        <w:t xml:space="preserve"> עולה פעמיים </w:t>
      </w:r>
      <w:r w:rsidRPr="00A103FC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פעמים </w:t>
      </w:r>
      <w:r w:rsidRPr="00A103FC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>. כלומר, ב</w:t>
      </w:r>
      <w:r w:rsidRPr="001F5890">
        <w:rPr>
          <w:rFonts w:hint="cs"/>
          <w:b/>
          <w:bCs/>
          <w:sz w:val="28"/>
          <w:szCs w:val="28"/>
          <w:rtl/>
        </w:rPr>
        <w:t>נס</w:t>
      </w:r>
      <w:r>
        <w:rPr>
          <w:rFonts w:hint="cs"/>
          <w:rtl/>
        </w:rPr>
        <w:t xml:space="preserve"> יש 'הכאה' (שמובנה כפל וזיווג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 xml:space="preserve">) אחת של אותיות </w:t>
      </w:r>
      <w:r w:rsidRPr="00072B05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, הרומזות </w:t>
      </w:r>
      <w:proofErr w:type="spellStart"/>
      <w:r>
        <w:rPr>
          <w:rFonts w:hint="cs"/>
          <w:rtl/>
        </w:rPr>
        <w:t>למוחין</w:t>
      </w:r>
      <w:proofErr w:type="spellEnd"/>
      <w:r>
        <w:rPr>
          <w:rFonts w:hint="cs"/>
          <w:rtl/>
        </w:rPr>
        <w:t xml:space="preserve">, ו'הכאה' כפולה של אותיות </w:t>
      </w:r>
      <w:proofErr w:type="spellStart"/>
      <w:r w:rsidRPr="001F5890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 xml:space="preserve"> זו בזו (</w:t>
      </w:r>
      <w:r w:rsidRPr="001F5890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פעמים </w:t>
      </w:r>
      <w:r w:rsidRPr="001F5890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ו-</w:t>
      </w:r>
      <w:r w:rsidRPr="001F5890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פעמים </w:t>
      </w:r>
      <w:r w:rsidRPr="001F5890">
        <w:rPr>
          <w:rFonts w:hint="cs"/>
          <w:b/>
          <w:bCs/>
          <w:sz w:val="28"/>
          <w:szCs w:val="28"/>
          <w:rtl/>
        </w:rPr>
        <w:t>ו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 xml:space="preserve">), הרומזות למדות הלב (וכן פעמיים </w:t>
      </w:r>
      <w:r w:rsidRPr="00F30439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פעמים </w:t>
      </w:r>
      <w:r w:rsidRPr="00F30439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הן פעמיים </w:t>
      </w:r>
      <w:r w:rsidRPr="00F30439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>, סוד ה</w:t>
      </w:r>
      <w:r w:rsidRPr="00F30439">
        <w:rPr>
          <w:rFonts w:hint="cs"/>
          <w:b/>
          <w:bCs/>
          <w:sz w:val="28"/>
          <w:szCs w:val="28"/>
          <w:rtl/>
        </w:rPr>
        <w:t>לב</w:t>
      </w:r>
      <w:r>
        <w:rPr>
          <w:rFonts w:hint="cs"/>
          <w:rtl/>
        </w:rPr>
        <w:t xml:space="preserve"> היהודי המורכב מ-</w:t>
      </w:r>
      <w:r w:rsidRPr="00F30439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 xml:space="preserve"> אותיות </w:t>
      </w:r>
      <w:r w:rsidRPr="00F30439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 xml:space="preserve"> המכוונות זו כנגד זו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 xml:space="preserve">). כלומר, </w:t>
      </w:r>
      <w:proofErr w:type="spellStart"/>
      <w:r>
        <w:rPr>
          <w:rFonts w:hint="cs"/>
          <w:rtl/>
        </w:rPr>
        <w:t>במוחין</w:t>
      </w:r>
      <w:proofErr w:type="spellEnd"/>
      <w:r>
        <w:rPr>
          <w:rFonts w:hint="cs"/>
          <w:rtl/>
        </w:rPr>
        <w:t xml:space="preserve"> מתגלה אחדות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 xml:space="preserve"> ואילו מדות הלב הן "כפולות"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 xml:space="preserve"> במהותן. עבודת האדם היא להמשיך את אחדות המוחין לתוך מדות הלב הכפולות עד שיזכה לעבוד את ה' "'בכל לבבך'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בשני יצריך"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>.</w:t>
      </w:r>
    </w:p>
    <w:p w:rsidR="00FA55F0" w:rsidRDefault="00FA55F0" w:rsidP="00FA55F0">
      <w:pPr>
        <w:rPr>
          <w:rFonts w:hint="cs"/>
          <w:rtl/>
        </w:rPr>
      </w:pPr>
      <w:r>
        <w:rPr>
          <w:rFonts w:hint="cs"/>
          <w:rtl/>
        </w:rPr>
        <w:t xml:space="preserve">בחיי הנישואין החתן והכלה עצמם הם בסוד אותיות </w:t>
      </w:r>
      <w:proofErr w:type="spellStart"/>
      <w:r w:rsidRPr="00E87E1B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 xml:space="preserve">, </w:t>
      </w:r>
      <w:r w:rsidRPr="0018088E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הז"א</w:t>
      </w:r>
      <w:proofErr w:type="spellEnd"/>
      <w:r>
        <w:rPr>
          <w:rFonts w:hint="cs"/>
          <w:rtl/>
        </w:rPr>
        <w:t>-החתן ו-</w:t>
      </w:r>
      <w:r w:rsidRPr="0018088E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תתאה</w:t>
      </w:r>
      <w:proofErr w:type="spellEnd"/>
      <w:r>
        <w:rPr>
          <w:rFonts w:hint="cs"/>
          <w:rtl/>
        </w:rPr>
        <w:t xml:space="preserve"> היא המלכות-הכלה. נס הנישואין הוא בהצלחתם לעלות לאותיות </w:t>
      </w:r>
      <w:r w:rsidRPr="00E87E1B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להתכלל</w:t>
      </w:r>
      <w:proofErr w:type="spellEnd"/>
      <w:r>
        <w:rPr>
          <w:rFonts w:hint="cs"/>
          <w:rtl/>
        </w:rPr>
        <w:t xml:space="preserve"> בהן ולהמשיכן לתוך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שלהם. על כך נאמר "איש ואשה זכו שכינה ביניהן"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>: בלבות ה</w:t>
      </w:r>
      <w:r w:rsidRPr="00DD4897">
        <w:rPr>
          <w:rFonts w:hint="cs"/>
          <w:b/>
          <w:bCs/>
          <w:sz w:val="28"/>
          <w:szCs w:val="28"/>
          <w:rtl/>
        </w:rPr>
        <w:t>איש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r w:rsidRPr="00DD4897">
        <w:rPr>
          <w:rFonts w:hint="cs"/>
          <w:b/>
          <w:bCs/>
          <w:sz w:val="28"/>
          <w:szCs w:val="28"/>
          <w:rtl/>
        </w:rPr>
        <w:t>אשה</w:t>
      </w:r>
      <w:proofErr w:type="spellEnd"/>
      <w:r>
        <w:rPr>
          <w:rFonts w:hint="cs"/>
          <w:rtl/>
        </w:rPr>
        <w:t xml:space="preserve"> לוהטת </w:t>
      </w:r>
      <w:r w:rsidRPr="00DD4897">
        <w:rPr>
          <w:rFonts w:hint="cs"/>
          <w:b/>
          <w:bCs/>
          <w:sz w:val="28"/>
          <w:szCs w:val="28"/>
          <w:rtl/>
        </w:rPr>
        <w:t>אש</w:t>
      </w:r>
      <w:r>
        <w:rPr>
          <w:rFonts w:hint="cs"/>
          <w:rtl/>
        </w:rPr>
        <w:t xml:space="preserve"> כפולה ובעבודתם להפוך את כל האש </w:t>
      </w:r>
      <w:proofErr w:type="spellStart"/>
      <w:r>
        <w:rPr>
          <w:rFonts w:hint="cs"/>
          <w:rtl/>
        </w:rPr>
        <w:t>ל"שלהובין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דרחימותא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 xml:space="preserve"> (וכך לעבוד את ה' גם ביצר הרע</w:t>
      </w:r>
      <w:r w:rsidRPr="008636EE">
        <w:rPr>
          <w:rStyle w:val="a3"/>
          <w:rtl/>
        </w:rPr>
        <w:endnoteReference w:id="11"/>
      </w:r>
      <w:r>
        <w:rPr>
          <w:rFonts w:hint="cs"/>
          <w:rtl/>
        </w:rPr>
        <w:t xml:space="preserve">) הם זוכים להמשיך את שם </w:t>
      </w:r>
      <w:r w:rsidRPr="00F467BE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 כ"שכינה ביניהן" (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בסוד "</w:t>
      </w:r>
      <w:proofErr w:type="spellStart"/>
      <w:r w:rsidRPr="00DD4897">
        <w:rPr>
          <w:rFonts w:hint="cs"/>
          <w:b/>
          <w:bCs/>
          <w:sz w:val="28"/>
          <w:szCs w:val="28"/>
          <w:rtl/>
        </w:rPr>
        <w:t>סמכ</w:t>
      </w:r>
      <w:r>
        <w:rPr>
          <w:rFonts w:hint="cs"/>
          <w:rtl/>
        </w:rPr>
        <w:t>וני</w:t>
      </w:r>
      <w:proofErr w:type="spellEnd"/>
      <w:r>
        <w:rPr>
          <w:rFonts w:hint="cs"/>
          <w:rtl/>
        </w:rPr>
        <w:t xml:space="preserve"> </w:t>
      </w:r>
      <w:r w:rsidRPr="0006734F">
        <w:rPr>
          <w:rFonts w:hint="cs"/>
          <w:b/>
          <w:bCs/>
          <w:sz w:val="28"/>
          <w:szCs w:val="28"/>
          <w:rtl/>
        </w:rPr>
        <w:t>באש</w:t>
      </w:r>
      <w:r>
        <w:rPr>
          <w:rFonts w:hint="cs"/>
          <w:rtl/>
        </w:rPr>
        <w:t>יש</w:t>
      </w:r>
      <w:r w:rsidRPr="0006734F">
        <w:rPr>
          <w:rFonts w:hint="cs"/>
          <w:b/>
          <w:bCs/>
          <w:sz w:val="28"/>
          <w:szCs w:val="28"/>
          <w:rtl/>
        </w:rPr>
        <w:t>ות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 xml:space="preserve">, </w:t>
      </w:r>
      <w:r w:rsidRPr="0006734F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 xml:space="preserve"> </w:t>
      </w:r>
      <w:r w:rsidRPr="0006734F">
        <w:rPr>
          <w:rFonts w:hint="cs"/>
          <w:b/>
          <w:bCs/>
          <w:sz w:val="28"/>
          <w:szCs w:val="28"/>
          <w:rtl/>
        </w:rPr>
        <w:t>אשות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 xml:space="preserve"> הכלולות באות </w:t>
      </w:r>
      <w:r w:rsidRPr="0006734F">
        <w:rPr>
          <w:rFonts w:hint="cs"/>
          <w:b/>
          <w:bCs/>
          <w:sz w:val="28"/>
          <w:szCs w:val="28"/>
          <w:rtl/>
        </w:rPr>
        <w:t>סמך</w:t>
      </w:r>
      <w:r>
        <w:rPr>
          <w:rFonts w:hint="cs"/>
          <w:rtl/>
        </w:rPr>
        <w:t xml:space="preserve"> כנ"ל, המרפאות והופכות לאהבת ה' גם את האהבה השלילית והחולה, "כי חולת אהבה אני"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>).</w:t>
      </w:r>
    </w:p>
    <w:p w:rsidR="00FA55F0" w:rsidRDefault="00FA55F0" w:rsidP="00FA55F0">
      <w:pPr>
        <w:rPr>
          <w:rFonts w:hint="cs"/>
          <w:rtl/>
        </w:rPr>
      </w:pPr>
      <w:r>
        <w:rPr>
          <w:rFonts w:hint="cs"/>
          <w:rtl/>
        </w:rPr>
        <w:t xml:space="preserve">מלחמתו של עמלק היא לנתק בין האחדות </w:t>
      </w:r>
      <w:proofErr w:type="spellStart"/>
      <w:r>
        <w:rPr>
          <w:rFonts w:hint="cs"/>
          <w:rtl/>
        </w:rPr>
        <w:t>שבמוחין</w:t>
      </w:r>
      <w:proofErr w:type="spellEnd"/>
      <w:r>
        <w:rPr>
          <w:rFonts w:hint="cs"/>
          <w:rtl/>
        </w:rPr>
        <w:t xml:space="preserve"> לבין הכפילות שבמציאות התחתונה, כאמור בפסוק הבא "כי יד על כס יה מלחמה </w:t>
      </w:r>
      <w:proofErr w:type="spellStart"/>
      <w:r>
        <w:rPr>
          <w:rFonts w:hint="cs"/>
          <w:rtl/>
        </w:rPr>
        <w:t>להוי</w:t>
      </w:r>
      <w:proofErr w:type="spellEnd"/>
      <w:r>
        <w:rPr>
          <w:rFonts w:hint="cs"/>
          <w:rtl/>
        </w:rPr>
        <w:t>' בעמלק מדֹר דֹר"</w:t>
      </w:r>
      <w:r w:rsidRPr="008636EE">
        <w:rPr>
          <w:rStyle w:val="a3"/>
          <w:rtl/>
        </w:rPr>
        <w:endnoteReference w:id="15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"אין השם שלם ואין </w:t>
      </w:r>
      <w:proofErr w:type="spellStart"/>
      <w:r>
        <w:rPr>
          <w:rFonts w:hint="cs"/>
          <w:rtl/>
        </w:rPr>
        <w:t>הכסא</w:t>
      </w:r>
      <w:proofErr w:type="spellEnd"/>
      <w:r>
        <w:rPr>
          <w:rFonts w:hint="cs"/>
          <w:rtl/>
        </w:rPr>
        <w:t xml:space="preserve"> שלם עד שימחה זרעו של עמלק"</w:t>
      </w:r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 xml:space="preserve">. מלחמתו של עמלק היא כנגד קדושת הברית (ב"אשר </w:t>
      </w:r>
      <w:proofErr w:type="spellStart"/>
      <w:r>
        <w:rPr>
          <w:rFonts w:hint="cs"/>
          <w:rtl/>
        </w:rPr>
        <w:t>קרך</w:t>
      </w:r>
      <w:proofErr w:type="spellEnd"/>
      <w:r>
        <w:rPr>
          <w:rFonts w:hint="cs"/>
          <w:rtl/>
        </w:rPr>
        <w:t xml:space="preserve"> בדרך"</w:t>
      </w:r>
      <w:r w:rsidRPr="008636EE">
        <w:rPr>
          <w:rStyle w:val="a3"/>
          <w:rtl/>
        </w:rPr>
        <w:endnoteReference w:id="17"/>
      </w:r>
      <w:r>
        <w:rPr>
          <w:rFonts w:hint="cs"/>
          <w:rtl/>
        </w:rPr>
        <w:t>, בהתעוררות קרי וטומאה</w:t>
      </w:r>
      <w:r w:rsidRPr="008636EE">
        <w:rPr>
          <w:rStyle w:val="a3"/>
          <w:rtl/>
        </w:rPr>
        <w:endnoteReference w:id="18"/>
      </w:r>
      <w:r>
        <w:rPr>
          <w:rFonts w:hint="cs"/>
          <w:rtl/>
        </w:rPr>
        <w:t>, ובהיותו "חותך מילות ומשליכן כלפי מעלה"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 xml:space="preserve">) ונס הנישואין (המחזיקים מעמד </w:t>
      </w:r>
      <w:r>
        <w:rPr>
          <w:rFonts w:hint="cs"/>
          <w:rtl/>
        </w:rPr>
        <w:lastRenderedPageBreak/>
        <w:t xml:space="preserve">כנגד כל </w:t>
      </w:r>
      <w:r w:rsidRPr="003B3869">
        <w:rPr>
          <w:rFonts w:hint="cs"/>
          <w:b/>
          <w:bCs/>
          <w:sz w:val="28"/>
          <w:szCs w:val="28"/>
          <w:rtl/>
        </w:rPr>
        <w:t>ספק</w:t>
      </w:r>
      <w:r>
        <w:rPr>
          <w:rFonts w:hint="cs"/>
          <w:rtl/>
        </w:rPr>
        <w:t xml:space="preserve"> שזורע </w:t>
      </w:r>
      <w:r w:rsidRPr="003B3869">
        <w:rPr>
          <w:rFonts w:hint="cs"/>
          <w:b/>
          <w:bCs/>
          <w:sz w:val="28"/>
          <w:szCs w:val="28"/>
          <w:rtl/>
        </w:rPr>
        <w:t>עמלק</w:t>
      </w:r>
      <w:r>
        <w:rPr>
          <w:rFonts w:hint="cs"/>
          <w:rtl/>
        </w:rPr>
        <w:t xml:space="preserve">) הוא </w:t>
      </w:r>
      <w:proofErr w:type="spellStart"/>
      <w:r>
        <w:rPr>
          <w:rFonts w:hint="cs"/>
          <w:rtl/>
        </w:rPr>
        <w:t>הנצחון</w:t>
      </w:r>
      <w:proofErr w:type="spellEnd"/>
      <w:r>
        <w:rPr>
          <w:rFonts w:hint="cs"/>
          <w:rtl/>
        </w:rPr>
        <w:t xml:space="preserve"> הגדול ביותר עליו</w:t>
      </w:r>
      <w:r w:rsidRPr="008636EE">
        <w:rPr>
          <w:rStyle w:val="a3"/>
          <w:rtl/>
        </w:rPr>
        <w:endnoteReference w:id="20"/>
      </w:r>
      <w:r>
        <w:rPr>
          <w:rFonts w:hint="cs"/>
          <w:rtl/>
        </w:rPr>
        <w:t>. בכלל ישראל, כאשר זוכים להכרית את זרעו של עמלק ניתן לבנות את בית הבחירה</w:t>
      </w:r>
      <w:r w:rsidRPr="008636EE">
        <w:rPr>
          <w:rStyle w:val="a3"/>
          <w:rtl/>
        </w:rPr>
        <w:endnoteReference w:id="21"/>
      </w:r>
      <w:r>
        <w:rPr>
          <w:rFonts w:hint="cs"/>
          <w:rtl/>
        </w:rPr>
        <w:t xml:space="preserve"> בו משכין ה' את שמו הגדול, וכך כל זוג פרטי </w:t>
      </w:r>
      <w:proofErr w:type="spellStart"/>
      <w:r>
        <w:rPr>
          <w:rFonts w:hint="cs"/>
          <w:rtl/>
        </w:rPr>
        <w:t>בנצחונו</w:t>
      </w:r>
      <w:proofErr w:type="spellEnd"/>
      <w:r>
        <w:rPr>
          <w:rFonts w:hint="cs"/>
          <w:rtl/>
        </w:rPr>
        <w:t xml:space="preserve"> על עמלק הופך את ביתו למקדש מעט, מקום להשראת "שכינה ביניהם".</w:t>
      </w:r>
    </w:p>
    <w:p w:rsidR="005F4A47" w:rsidRDefault="00FA55F0" w:rsidP="00FA55F0">
      <w:r w:rsidRPr="0056432A">
        <w:rPr>
          <w:rFonts w:hint="cs"/>
          <w:rtl/>
        </w:rPr>
        <w:t xml:space="preserve">באופן נוסף יש לדרוש את סוד "הוי' נסי" כהכאות בין כל אותיות שם הוי' כסדרן (ללא כפילות): </w:t>
      </w:r>
      <w:r w:rsidRPr="0056432A">
        <w:rPr>
          <w:rFonts w:hint="cs"/>
          <w:b/>
          <w:bCs/>
          <w:sz w:val="28"/>
          <w:szCs w:val="28"/>
          <w:rtl/>
        </w:rPr>
        <w:t>י</w:t>
      </w:r>
      <w:r w:rsidRPr="0056432A">
        <w:rPr>
          <w:rFonts w:hint="cs"/>
          <w:rtl/>
        </w:rPr>
        <w:t xml:space="preserve"> פעמים </w:t>
      </w:r>
      <w:r w:rsidRPr="0056432A">
        <w:rPr>
          <w:rFonts w:hint="cs"/>
          <w:b/>
          <w:bCs/>
          <w:sz w:val="28"/>
          <w:szCs w:val="28"/>
          <w:rtl/>
        </w:rPr>
        <w:t>ה</w:t>
      </w:r>
      <w:r w:rsidRPr="0056432A">
        <w:rPr>
          <w:rFonts w:hint="cs"/>
          <w:rtl/>
        </w:rPr>
        <w:t xml:space="preserve">, </w:t>
      </w:r>
      <w:r w:rsidRPr="0056432A">
        <w:rPr>
          <w:rFonts w:hint="cs"/>
          <w:b/>
          <w:bCs/>
          <w:sz w:val="28"/>
          <w:szCs w:val="28"/>
          <w:rtl/>
        </w:rPr>
        <w:t>ה</w:t>
      </w:r>
      <w:r w:rsidRPr="0056432A">
        <w:rPr>
          <w:rFonts w:hint="cs"/>
          <w:rtl/>
        </w:rPr>
        <w:t xml:space="preserve"> (</w:t>
      </w:r>
      <w:proofErr w:type="spellStart"/>
      <w:r w:rsidRPr="0056432A">
        <w:rPr>
          <w:rFonts w:hint="cs"/>
          <w:rtl/>
        </w:rPr>
        <w:t>עילאה</w:t>
      </w:r>
      <w:proofErr w:type="spellEnd"/>
      <w:r w:rsidRPr="0056432A">
        <w:rPr>
          <w:rFonts w:hint="cs"/>
          <w:rtl/>
        </w:rPr>
        <w:t xml:space="preserve">) פעמים </w:t>
      </w:r>
      <w:r w:rsidRPr="0056432A">
        <w:rPr>
          <w:rFonts w:hint="cs"/>
          <w:b/>
          <w:bCs/>
          <w:sz w:val="28"/>
          <w:szCs w:val="28"/>
          <w:rtl/>
        </w:rPr>
        <w:t>ו</w:t>
      </w:r>
      <w:r w:rsidRPr="0056432A">
        <w:rPr>
          <w:rFonts w:hint="cs"/>
          <w:rtl/>
        </w:rPr>
        <w:t xml:space="preserve">, </w:t>
      </w:r>
      <w:r w:rsidRPr="0056432A">
        <w:rPr>
          <w:rFonts w:hint="cs"/>
          <w:b/>
          <w:bCs/>
          <w:sz w:val="28"/>
          <w:szCs w:val="28"/>
          <w:rtl/>
        </w:rPr>
        <w:t>ו</w:t>
      </w:r>
      <w:r w:rsidRPr="0056432A">
        <w:rPr>
          <w:rFonts w:hint="cs"/>
          <w:rtl/>
        </w:rPr>
        <w:t xml:space="preserve"> פעמים </w:t>
      </w:r>
      <w:r w:rsidRPr="0056432A">
        <w:rPr>
          <w:rFonts w:hint="cs"/>
          <w:b/>
          <w:bCs/>
          <w:sz w:val="28"/>
          <w:szCs w:val="28"/>
          <w:rtl/>
        </w:rPr>
        <w:t>ה</w:t>
      </w:r>
      <w:r w:rsidRPr="0056432A">
        <w:rPr>
          <w:rFonts w:hint="cs"/>
          <w:rtl/>
        </w:rPr>
        <w:t xml:space="preserve"> (</w:t>
      </w:r>
      <w:proofErr w:type="spellStart"/>
      <w:r w:rsidRPr="0056432A">
        <w:rPr>
          <w:rFonts w:hint="cs"/>
          <w:rtl/>
        </w:rPr>
        <w:t>תתאה</w:t>
      </w:r>
      <w:proofErr w:type="spellEnd"/>
      <w:r w:rsidRPr="0056432A">
        <w:rPr>
          <w:rFonts w:hint="cs"/>
          <w:rtl/>
        </w:rPr>
        <w:t>). לפי זה, ה-</w:t>
      </w:r>
      <w:r w:rsidRPr="0056432A">
        <w:rPr>
          <w:rFonts w:hint="cs"/>
          <w:b/>
          <w:bCs/>
          <w:sz w:val="28"/>
          <w:szCs w:val="28"/>
          <w:rtl/>
        </w:rPr>
        <w:t>ס</w:t>
      </w:r>
      <w:r w:rsidRPr="0056432A">
        <w:rPr>
          <w:rFonts w:hint="cs"/>
          <w:rtl/>
        </w:rPr>
        <w:t xml:space="preserve"> פועלת המשכה </w:t>
      </w:r>
      <w:proofErr w:type="spellStart"/>
      <w:r w:rsidRPr="0056432A">
        <w:rPr>
          <w:rFonts w:hint="cs"/>
          <w:rtl/>
        </w:rPr>
        <w:t>מאמא</w:t>
      </w:r>
      <w:proofErr w:type="spellEnd"/>
      <w:r w:rsidRPr="0056432A">
        <w:rPr>
          <w:rFonts w:hint="cs"/>
          <w:rtl/>
        </w:rPr>
        <w:t xml:space="preserve"> (</w:t>
      </w:r>
      <w:r w:rsidRPr="0056432A">
        <w:rPr>
          <w:rFonts w:hint="cs"/>
          <w:b/>
          <w:bCs/>
          <w:sz w:val="28"/>
          <w:szCs w:val="28"/>
          <w:rtl/>
        </w:rPr>
        <w:t>ה</w:t>
      </w:r>
      <w:r w:rsidRPr="0056432A">
        <w:rPr>
          <w:rFonts w:hint="cs"/>
          <w:rtl/>
        </w:rPr>
        <w:t xml:space="preserve"> </w:t>
      </w:r>
      <w:proofErr w:type="spellStart"/>
      <w:r w:rsidRPr="0056432A">
        <w:rPr>
          <w:rFonts w:hint="cs"/>
          <w:rtl/>
        </w:rPr>
        <w:t>עילאה</w:t>
      </w:r>
      <w:proofErr w:type="spellEnd"/>
      <w:r w:rsidRPr="0056432A">
        <w:rPr>
          <w:rFonts w:hint="cs"/>
          <w:rtl/>
        </w:rPr>
        <w:t>) לזעיר אנפין (</w:t>
      </w:r>
      <w:r w:rsidRPr="0056432A">
        <w:rPr>
          <w:rFonts w:hint="cs"/>
          <w:b/>
          <w:bCs/>
          <w:sz w:val="28"/>
          <w:szCs w:val="28"/>
          <w:rtl/>
        </w:rPr>
        <w:t>ו</w:t>
      </w:r>
      <w:r w:rsidRPr="0056432A">
        <w:rPr>
          <w:rFonts w:hint="cs"/>
          <w:rtl/>
        </w:rPr>
        <w:t>) ומזעיר אנפין למלכות (</w:t>
      </w:r>
      <w:r w:rsidRPr="0056432A">
        <w:rPr>
          <w:rFonts w:hint="cs"/>
          <w:b/>
          <w:bCs/>
          <w:sz w:val="28"/>
          <w:szCs w:val="28"/>
          <w:rtl/>
        </w:rPr>
        <w:t>ה</w:t>
      </w:r>
      <w:r w:rsidRPr="0056432A">
        <w:rPr>
          <w:rFonts w:hint="cs"/>
          <w:rtl/>
        </w:rPr>
        <w:t xml:space="preserve"> </w:t>
      </w:r>
      <w:proofErr w:type="spellStart"/>
      <w:r w:rsidRPr="0056432A">
        <w:rPr>
          <w:rFonts w:hint="cs"/>
          <w:rtl/>
        </w:rPr>
        <w:t>תתאה</w:t>
      </w:r>
      <w:proofErr w:type="spellEnd"/>
      <w:r w:rsidRPr="0056432A">
        <w:rPr>
          <w:rFonts w:hint="cs"/>
          <w:rtl/>
        </w:rPr>
        <w:t xml:space="preserve">), והוא סוד הכנת </w:t>
      </w:r>
      <w:proofErr w:type="spellStart"/>
      <w:r w:rsidRPr="0056432A">
        <w:rPr>
          <w:rFonts w:hint="cs"/>
          <w:rtl/>
        </w:rPr>
        <w:t>האמא</w:t>
      </w:r>
      <w:proofErr w:type="spellEnd"/>
      <w:r w:rsidRPr="0056432A">
        <w:rPr>
          <w:rFonts w:hint="cs"/>
          <w:rtl/>
        </w:rPr>
        <w:t xml:space="preserve"> את בנה לקראת חתונתו עם אשתו </w:t>
      </w:r>
      <w:r w:rsidRPr="0056432A">
        <w:rPr>
          <w:rtl/>
        </w:rPr>
        <w:t>–</w:t>
      </w:r>
      <w:r w:rsidRPr="0056432A">
        <w:rPr>
          <w:rFonts w:hint="cs"/>
          <w:rtl/>
        </w:rPr>
        <w:t xml:space="preserve"> "בעטרה שעטרה לו אמו ביום חתונתו"</w:t>
      </w:r>
      <w:r w:rsidRPr="008636EE">
        <w:rPr>
          <w:rStyle w:val="a3"/>
          <w:rtl/>
        </w:rPr>
        <w:endnoteReference w:id="22"/>
      </w:r>
      <w:r w:rsidRPr="0056432A">
        <w:rPr>
          <w:rFonts w:hint="cs"/>
          <w:rtl/>
        </w:rPr>
        <w:t>. מחיבור הדרושים עולה כי תיקון ה</w:t>
      </w:r>
      <w:r w:rsidRPr="0056432A">
        <w:rPr>
          <w:rFonts w:hint="cs"/>
          <w:b/>
          <w:bCs/>
          <w:sz w:val="28"/>
          <w:szCs w:val="28"/>
          <w:rtl/>
        </w:rPr>
        <w:t>אש</w:t>
      </w:r>
      <w:r w:rsidRPr="0056432A">
        <w:rPr>
          <w:rFonts w:hint="cs"/>
          <w:rtl/>
        </w:rPr>
        <w:t xml:space="preserve"> של ה</w:t>
      </w:r>
      <w:r w:rsidRPr="0056432A">
        <w:rPr>
          <w:rFonts w:hint="cs"/>
          <w:b/>
          <w:bCs/>
          <w:sz w:val="28"/>
          <w:szCs w:val="28"/>
          <w:rtl/>
        </w:rPr>
        <w:t>א</w:t>
      </w:r>
      <w:r w:rsidRPr="0056432A">
        <w:rPr>
          <w:rFonts w:hint="cs"/>
          <w:rtl/>
        </w:rPr>
        <w:t>י</w:t>
      </w:r>
      <w:r w:rsidRPr="0056432A">
        <w:rPr>
          <w:rFonts w:hint="cs"/>
          <w:b/>
          <w:bCs/>
          <w:sz w:val="28"/>
          <w:szCs w:val="28"/>
          <w:rtl/>
        </w:rPr>
        <w:t>ש</w:t>
      </w:r>
      <w:r w:rsidRPr="0056432A">
        <w:rPr>
          <w:rFonts w:hint="cs"/>
          <w:rtl/>
        </w:rPr>
        <w:t xml:space="preserve"> </w:t>
      </w:r>
      <w:proofErr w:type="spellStart"/>
      <w:r w:rsidRPr="0056432A">
        <w:rPr>
          <w:rFonts w:hint="cs"/>
          <w:rtl/>
        </w:rPr>
        <w:t>וה</w:t>
      </w:r>
      <w:r w:rsidRPr="0056432A">
        <w:rPr>
          <w:rFonts w:hint="cs"/>
          <w:b/>
          <w:bCs/>
          <w:sz w:val="28"/>
          <w:szCs w:val="28"/>
          <w:rtl/>
        </w:rPr>
        <w:t>אש</w:t>
      </w:r>
      <w:r w:rsidRPr="0056432A">
        <w:rPr>
          <w:rFonts w:hint="cs"/>
          <w:rtl/>
        </w:rPr>
        <w:t>ה</w:t>
      </w:r>
      <w:proofErr w:type="spellEnd"/>
      <w:r w:rsidRPr="0056432A">
        <w:rPr>
          <w:rFonts w:hint="cs"/>
          <w:rtl/>
        </w:rPr>
        <w:t xml:space="preserve"> תלוי בעיקר בהתייחסות האם לאש</w:t>
      </w:r>
      <w:r w:rsidRPr="008636EE">
        <w:rPr>
          <w:rStyle w:val="a3"/>
          <w:rtl/>
        </w:rPr>
        <w:endnoteReference w:id="23"/>
      </w:r>
      <w:r w:rsidRPr="0056432A">
        <w:rPr>
          <w:rFonts w:hint="cs"/>
          <w:rtl/>
        </w:rPr>
        <w:t>, משום שיסוד האש שייך דווקא לה</w:t>
      </w:r>
      <w:bookmarkStart w:id="0" w:name="_Ref302070951"/>
      <w:r w:rsidRPr="008636EE">
        <w:rPr>
          <w:rStyle w:val="a3"/>
          <w:rtl/>
        </w:rPr>
        <w:endnoteReference w:id="24"/>
      </w:r>
      <w:bookmarkEnd w:id="0"/>
      <w:r w:rsidRPr="0056432A">
        <w:rPr>
          <w:rFonts w:hint="cs"/>
          <w:rtl/>
        </w:rPr>
        <w:t xml:space="preserve">, ועל כך אמר דוד המלך "בחטא </w:t>
      </w:r>
      <w:proofErr w:type="spellStart"/>
      <w:r w:rsidRPr="0056432A">
        <w:rPr>
          <w:rFonts w:hint="cs"/>
          <w:rtl/>
        </w:rPr>
        <w:t>יחמתני</w:t>
      </w:r>
      <w:proofErr w:type="spellEnd"/>
      <w:r w:rsidRPr="0056432A">
        <w:rPr>
          <w:rFonts w:hint="cs"/>
          <w:rtl/>
        </w:rPr>
        <w:t xml:space="preserve"> אמי"</w:t>
      </w:r>
      <w:r w:rsidRPr="008636EE">
        <w:rPr>
          <w:rStyle w:val="a3"/>
          <w:rtl/>
        </w:rPr>
        <w:endnoteReference w:id="25"/>
      </w:r>
      <w:r w:rsidRPr="0056432A">
        <w:rPr>
          <w:rFonts w:hint="cs"/>
          <w:rtl/>
        </w:rPr>
        <w:t xml:space="preserve"> (בעוד לאב שייך יסוד המים</w:t>
      </w:r>
      <w:r w:rsidRPr="0089272C">
        <w:rPr>
          <w:rStyle w:val="a6"/>
          <w:rtl/>
        </w:rPr>
        <w:fldChar w:fldCharType="begin"/>
      </w:r>
      <w:r w:rsidRPr="0089272C">
        <w:rPr>
          <w:rStyle w:val="a6"/>
          <w:rtl/>
        </w:rPr>
        <w:instrText xml:space="preserve"> </w:instrText>
      </w:r>
      <w:r w:rsidRPr="0089272C">
        <w:rPr>
          <w:rStyle w:val="a6"/>
          <w:rFonts w:hint="cs"/>
        </w:rPr>
        <w:instrText>NOTEREF</w:instrText>
      </w:r>
      <w:r w:rsidRPr="0089272C">
        <w:rPr>
          <w:rStyle w:val="a6"/>
          <w:rFonts w:hint="cs"/>
          <w:rtl/>
        </w:rPr>
        <w:instrText xml:space="preserve"> _</w:instrText>
      </w:r>
      <w:r w:rsidRPr="0089272C">
        <w:rPr>
          <w:rStyle w:val="a6"/>
          <w:rFonts w:hint="cs"/>
        </w:rPr>
        <w:instrText>Ref302070951 \h</w:instrText>
      </w:r>
      <w:r w:rsidRPr="0089272C">
        <w:rPr>
          <w:rStyle w:val="a6"/>
          <w:rtl/>
        </w:rPr>
        <w:instrText xml:space="preserve"> </w:instrText>
      </w:r>
      <w:r w:rsidRPr="0089272C">
        <w:rPr>
          <w:rStyle w:val="a6"/>
        </w:rPr>
      </w:r>
      <w:r>
        <w:rPr>
          <w:rStyle w:val="a6"/>
        </w:rPr>
        <w:instrText xml:space="preserve">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כד</w:t>
      </w:r>
      <w:r w:rsidRPr="0089272C">
        <w:rPr>
          <w:rStyle w:val="a6"/>
          <w:rtl/>
        </w:rPr>
        <w:fldChar w:fldCharType="end"/>
      </w:r>
      <w:r w:rsidRPr="0056432A">
        <w:rPr>
          <w:rFonts w:hint="cs"/>
          <w:rtl/>
        </w:rPr>
        <w:t xml:space="preserve">, וכן שם </w:t>
      </w:r>
      <w:r w:rsidRPr="0056432A">
        <w:rPr>
          <w:rFonts w:hint="cs"/>
          <w:b/>
          <w:bCs/>
          <w:sz w:val="28"/>
          <w:szCs w:val="28"/>
          <w:rtl/>
        </w:rPr>
        <w:t>יה</w:t>
      </w:r>
      <w:r w:rsidRPr="0056432A">
        <w:rPr>
          <w:rFonts w:hint="cs"/>
          <w:rtl/>
        </w:rPr>
        <w:t xml:space="preserve"> </w:t>
      </w:r>
      <w:r w:rsidRPr="0056432A">
        <w:rPr>
          <w:rtl/>
        </w:rPr>
        <w:t>–</w:t>
      </w:r>
      <w:r w:rsidRPr="0056432A">
        <w:rPr>
          <w:rFonts w:hint="cs"/>
          <w:rtl/>
        </w:rPr>
        <w:t xml:space="preserve"> השורה בא</w:t>
      </w:r>
      <w:r w:rsidRPr="0056432A">
        <w:rPr>
          <w:rFonts w:hint="cs"/>
          <w:b/>
          <w:bCs/>
          <w:sz w:val="28"/>
          <w:szCs w:val="28"/>
          <w:rtl/>
        </w:rPr>
        <w:t>י</w:t>
      </w:r>
      <w:r w:rsidRPr="0056432A">
        <w:rPr>
          <w:rFonts w:hint="cs"/>
          <w:rtl/>
        </w:rPr>
        <w:t>ש ובאש</w:t>
      </w:r>
      <w:r w:rsidRPr="0056432A">
        <w:rPr>
          <w:rFonts w:hint="cs"/>
          <w:b/>
          <w:bCs/>
          <w:sz w:val="28"/>
          <w:szCs w:val="28"/>
          <w:rtl/>
        </w:rPr>
        <w:t>ה</w:t>
      </w:r>
      <w:r w:rsidRPr="0056432A">
        <w:rPr>
          <w:rFonts w:hint="cs"/>
          <w:rtl/>
        </w:rPr>
        <w:t xml:space="preserve"> </w:t>
      </w:r>
      <w:r w:rsidRPr="0056432A">
        <w:rPr>
          <w:rtl/>
        </w:rPr>
        <w:t>–</w:t>
      </w:r>
      <w:r w:rsidRPr="0056432A">
        <w:rPr>
          <w:rFonts w:hint="cs"/>
          <w:rtl/>
        </w:rPr>
        <w:t xml:space="preserve"> שייך בפרט לספירת החכמה</w:t>
      </w:r>
      <w:r w:rsidRPr="008636EE">
        <w:rPr>
          <w:rStyle w:val="a3"/>
          <w:rtl/>
        </w:rPr>
        <w:endnoteReference w:id="26"/>
      </w:r>
      <w:r w:rsidRPr="0056432A">
        <w:rPr>
          <w:rFonts w:hint="cs"/>
          <w:rtl/>
        </w:rPr>
        <w:t>).</w:t>
      </w:r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946" w:rsidRDefault="00717946" w:rsidP="00FA55F0">
      <w:pPr>
        <w:spacing w:after="0" w:line="240" w:lineRule="auto"/>
      </w:pPr>
      <w:r>
        <w:separator/>
      </w:r>
    </w:p>
  </w:endnote>
  <w:endnote w:type="continuationSeparator" w:id="0">
    <w:p w:rsidR="00717946" w:rsidRDefault="00717946" w:rsidP="00FA55F0">
      <w:pPr>
        <w:spacing w:after="0" w:line="240" w:lineRule="auto"/>
      </w:pPr>
      <w:r>
        <w:continuationSeparator/>
      </w:r>
    </w:p>
  </w:endnote>
  <w:endnote w:id="1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טו.</w:t>
      </w:r>
    </w:p>
  </w:endnote>
  <w:endnote w:id="2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מבוא </w:t>
      </w:r>
      <w:proofErr w:type="spellStart"/>
      <w:r>
        <w:rPr>
          <w:rFonts w:hint="cs"/>
          <w:rtl/>
        </w:rPr>
        <w:t>לגימטריא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בתחלת</w:t>
      </w:r>
      <w:proofErr w:type="spellEnd"/>
      <w:r>
        <w:rPr>
          <w:rFonts w:hint="cs"/>
          <w:rtl/>
        </w:rPr>
        <w:t xml:space="preserve"> הספר ברכות בחשבון ומעין גנים ח"ד עמ' </w:t>
      </w:r>
      <w:proofErr w:type="spellStart"/>
      <w:r>
        <w:rPr>
          <w:rFonts w:hint="cs"/>
          <w:rtl/>
        </w:rPr>
        <w:t>קמד</w:t>
      </w:r>
      <w:proofErr w:type="spellEnd"/>
      <w:r>
        <w:rPr>
          <w:rFonts w:hint="cs"/>
          <w:rtl/>
        </w:rPr>
        <w:t xml:space="preserve"> הערה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3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הכאה על דרך זו בשער </w:t>
      </w:r>
      <w:proofErr w:type="spellStart"/>
      <w:r>
        <w:rPr>
          <w:rFonts w:hint="cs"/>
          <w:rtl/>
        </w:rPr>
        <w:t>הלקוטים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 (ובכ"ד).</w:t>
      </w:r>
    </w:p>
  </w:endnote>
  <w:endnote w:id="4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r>
        <w:rPr>
          <w:rtl/>
        </w:rPr>
        <w:t>אמרי שפר ל</w:t>
      </w:r>
      <w:r>
        <w:rPr>
          <w:rFonts w:hint="cs"/>
          <w:rtl/>
        </w:rPr>
        <w:t xml:space="preserve">מקובל הראשון </w:t>
      </w:r>
      <w:r>
        <w:rPr>
          <w:rtl/>
        </w:rPr>
        <w:t xml:space="preserve">ר"א </w:t>
      </w:r>
      <w:proofErr w:type="spellStart"/>
      <w:r>
        <w:rPr>
          <w:rtl/>
        </w:rPr>
        <w:t>אבולעפיא</w:t>
      </w:r>
      <w:proofErr w:type="spellEnd"/>
      <w:r>
        <w:rPr>
          <w:rtl/>
        </w:rPr>
        <w:t xml:space="preserve"> זצ"ל </w:t>
      </w:r>
      <w:proofErr w:type="spellStart"/>
      <w:r>
        <w:rPr>
          <w:rtl/>
        </w:rPr>
        <w:t>ח"ג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t>ראה</w:t>
      </w:r>
      <w:r>
        <w:rPr>
          <w:rFonts w:hint="cs"/>
          <w:rtl/>
        </w:rPr>
        <w:t xml:space="preserve"> גם</w:t>
      </w:r>
      <w:r>
        <w:rPr>
          <w:rtl/>
        </w:rPr>
        <w:t xml:space="preserve"> יין משמח </w:t>
      </w:r>
      <w:proofErr w:type="spellStart"/>
      <w:r>
        <w:rPr>
          <w:rtl/>
        </w:rPr>
        <w:t>ח"ב</w:t>
      </w:r>
      <w:proofErr w:type="spellEnd"/>
      <w:r>
        <w:rPr>
          <w:rtl/>
        </w:rPr>
        <w:t xml:space="preserve"> שער </w:t>
      </w:r>
      <w:r>
        <w:rPr>
          <w:rFonts w:hint="cs"/>
          <w:rtl/>
        </w:rPr>
        <w:t xml:space="preserve">ו </w:t>
      </w:r>
      <w:r>
        <w:rPr>
          <w:rtl/>
        </w:rPr>
        <w:t>בתורה</w:t>
      </w:r>
      <w:r>
        <w:rPr>
          <w:rFonts w:hint="cs"/>
          <w:rtl/>
        </w:rPr>
        <w:t xml:space="preserve"> </w:t>
      </w:r>
      <w:r>
        <w:rPr>
          <w:rtl/>
        </w:rPr>
        <w:t xml:space="preserve">"הריעו </w:t>
      </w:r>
      <w:proofErr w:type="spellStart"/>
      <w:r>
        <w:rPr>
          <w:rtl/>
        </w:rPr>
        <w:t>להוי</w:t>
      </w:r>
      <w:proofErr w:type="spellEnd"/>
      <w:r>
        <w:rPr>
          <w:rtl/>
        </w:rPr>
        <w:t>' כל הארץ"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 xml:space="preserve">גוף </w:t>
      </w:r>
      <w:r>
        <w:rPr>
          <w:rtl/>
        </w:rPr>
        <w:t>נפש ונשמה פ"ב (עמ' מט, וראה</w:t>
      </w:r>
      <w:r>
        <w:rPr>
          <w:rFonts w:hint="cs"/>
          <w:rtl/>
        </w:rPr>
        <w:t xml:space="preserve"> </w:t>
      </w:r>
      <w:r>
        <w:rPr>
          <w:rtl/>
        </w:rPr>
        <w:t xml:space="preserve">גם שם הערה נו ובתיקון המדינה פ"א הערה </w:t>
      </w:r>
      <w:proofErr w:type="spellStart"/>
      <w:r>
        <w:rPr>
          <w:rtl/>
        </w:rPr>
        <w:t>נז</w:t>
      </w:r>
      <w:proofErr w:type="spellEnd"/>
      <w:r>
        <w:rPr>
          <w:rtl/>
        </w:rPr>
        <w:t>).</w:t>
      </w:r>
    </w:p>
  </w:endnote>
  <w:endnote w:id="5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</w:t>
      </w:r>
      <w:proofErr w:type="spellStart"/>
      <w:r>
        <w:rPr>
          <w:rFonts w:hint="cs"/>
          <w:rtl/>
        </w:rPr>
        <w:t>פל"ה</w:t>
      </w:r>
      <w:proofErr w:type="spellEnd"/>
      <w:r>
        <w:rPr>
          <w:rFonts w:hint="cs"/>
          <w:rtl/>
        </w:rPr>
        <w:t xml:space="preserve"> בהגהה כי "אחד האמת" מתגלה בחכמה (הכוללת את כל המוחין, "חכמה מוחא", וראה גם חסדי דוד הנאמנים </w:t>
      </w:r>
      <w:proofErr w:type="spellStart"/>
      <w:r>
        <w:rPr>
          <w:rFonts w:hint="cs"/>
          <w:rtl/>
        </w:rPr>
        <w:t>ח"ח</w:t>
      </w:r>
      <w:proofErr w:type="spellEnd"/>
      <w:r>
        <w:rPr>
          <w:rFonts w:hint="cs"/>
          <w:rtl/>
        </w:rPr>
        <w:t xml:space="preserve"> עמ' 262 ואילך).</w:t>
      </w:r>
    </w:p>
  </w:endnote>
  <w:endnote w:id="6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ספר יצירה פ"ד מ"א (וראה בספר הנפש עמ' </w:t>
      </w:r>
      <w:proofErr w:type="spellStart"/>
      <w:r>
        <w:rPr>
          <w:rFonts w:hint="cs"/>
          <w:rtl/>
        </w:rPr>
        <w:t>קלא</w:t>
      </w:r>
      <w:proofErr w:type="spellEnd"/>
      <w:r>
        <w:rPr>
          <w:rFonts w:hint="cs"/>
          <w:rtl/>
        </w:rPr>
        <w:t xml:space="preserve"> ואילך).</w:t>
      </w:r>
    </w:p>
  </w:endnote>
  <w:endnote w:id="7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ו, ה. </w:t>
      </w:r>
    </w:p>
  </w:endnote>
  <w:endnote w:id="8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פ"ט מ"ה.</w:t>
      </w:r>
    </w:p>
  </w:endnote>
  <w:endnote w:id="9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10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</w:t>
      </w:r>
      <w:r w:rsidRPr="005F7147">
        <w:rPr>
          <w:rtl/>
        </w:rPr>
        <w:t xml:space="preserve">זהר </w:t>
      </w:r>
      <w:proofErr w:type="spellStart"/>
      <w:r w:rsidRPr="005F7147">
        <w:rPr>
          <w:rtl/>
        </w:rPr>
        <w:t>ח"ג</w:t>
      </w:r>
      <w:proofErr w:type="spellEnd"/>
      <w:r w:rsidRPr="005F7147">
        <w:rPr>
          <w:rtl/>
        </w:rPr>
        <w:t xml:space="preserve"> לג, ב</w:t>
      </w:r>
      <w:r>
        <w:rPr>
          <w:rFonts w:hint="cs"/>
          <w:rtl/>
        </w:rPr>
        <w:t>.</w:t>
      </w:r>
    </w:p>
  </w:endnote>
  <w:endnote w:id="11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יומא סט, ב על חשיבותו של היצר הרע לקיום המין.</w:t>
      </w:r>
    </w:p>
  </w:endnote>
  <w:endnote w:id="12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ב, ה.</w:t>
      </w:r>
    </w:p>
  </w:endnote>
  <w:endnote w:id="13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רבה ב, א וראה שכינה ביניהם פ"א הערה א.</w:t>
      </w:r>
    </w:p>
  </w:endnote>
  <w:endnote w:id="14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שיר השירים לה, ד.</w:t>
      </w:r>
    </w:p>
  </w:endnote>
  <w:endnote w:id="15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16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שם.</w:t>
      </w:r>
    </w:p>
  </w:endnote>
  <w:endnote w:id="17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כה,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18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עה"פ (עפ"י מדרש תהלים ט).</w:t>
      </w:r>
    </w:p>
  </w:endnote>
  <w:endnote w:id="19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רש"י שם.</w:t>
      </w:r>
    </w:p>
  </w:endnote>
  <w:endnote w:id="20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יין משמח ח"א שער ה בתורה "שלש מצוות הנישואין" ובשער ה בתורה "ברכת הטבילה".</w:t>
      </w:r>
    </w:p>
  </w:endnote>
  <w:endnote w:id="21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r>
        <w:rPr>
          <w:rtl/>
        </w:rPr>
        <w:t>סנהדרין כ, ב</w:t>
      </w:r>
      <w:r>
        <w:rPr>
          <w:rFonts w:hint="cs"/>
          <w:rtl/>
        </w:rPr>
        <w:t>;</w:t>
      </w:r>
      <w:r>
        <w:rPr>
          <w:rtl/>
        </w:rPr>
        <w:t xml:space="preserve"> רמב"ם תחילת הל</w:t>
      </w:r>
      <w:r>
        <w:rPr>
          <w:rFonts w:hint="cs"/>
          <w:rtl/>
        </w:rPr>
        <w:t xml:space="preserve">כות </w:t>
      </w:r>
      <w:r>
        <w:rPr>
          <w:rtl/>
        </w:rPr>
        <w:t>מלכים</w:t>
      </w:r>
      <w:r w:rsidDel="00382392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ובאריכות במלכות ישראל ח"א עמ'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 ואילך.</w:t>
      </w:r>
    </w:p>
  </w:endnote>
  <w:endnote w:id="22">
    <w:p w:rsidR="00FA55F0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ג, יא.</w:t>
      </w:r>
    </w:p>
  </w:endnote>
  <w:endnote w:id="23">
    <w:p w:rsidR="00FA55F0" w:rsidRPr="0056432A" w:rsidRDefault="00FA55F0" w:rsidP="00FA55F0">
      <w:pPr>
        <w:pStyle w:val="a4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6432A">
        <w:rPr>
          <w:rFonts w:hint="cs"/>
          <w:rtl/>
        </w:rPr>
        <w:t xml:space="preserve">וראה זהר </w:t>
      </w:r>
      <w:proofErr w:type="spellStart"/>
      <w:r w:rsidRPr="0056432A">
        <w:rPr>
          <w:rFonts w:hint="cs"/>
          <w:rtl/>
        </w:rPr>
        <w:t>ח"ג</w:t>
      </w:r>
      <w:proofErr w:type="spellEnd"/>
      <w:r w:rsidRPr="0056432A">
        <w:rPr>
          <w:rFonts w:hint="cs"/>
          <w:rtl/>
        </w:rPr>
        <w:t xml:space="preserve"> פא, ב כי הקדמת האם לאב בפרשת קדשים ("איש אמו ואביו תיראו") היא משום </w:t>
      </w:r>
      <w:proofErr w:type="spellStart"/>
      <w:r w:rsidRPr="0056432A">
        <w:rPr>
          <w:rFonts w:hint="cs"/>
          <w:rtl/>
        </w:rPr>
        <w:t>ש"שבחא</w:t>
      </w:r>
      <w:proofErr w:type="spellEnd"/>
      <w:r w:rsidRPr="0056432A">
        <w:rPr>
          <w:rFonts w:hint="cs"/>
          <w:rtl/>
        </w:rPr>
        <w:t xml:space="preserve"> יתיר </w:t>
      </w:r>
      <w:proofErr w:type="spellStart"/>
      <w:r w:rsidRPr="0056432A">
        <w:rPr>
          <w:rFonts w:hint="cs"/>
          <w:rtl/>
        </w:rPr>
        <w:t>בההיא</w:t>
      </w:r>
      <w:proofErr w:type="spellEnd"/>
      <w:r w:rsidRPr="0056432A">
        <w:rPr>
          <w:rFonts w:hint="cs"/>
          <w:rtl/>
        </w:rPr>
        <w:t xml:space="preserve"> קדושה" יש </w:t>
      </w:r>
      <w:proofErr w:type="spellStart"/>
      <w:r w:rsidRPr="0056432A">
        <w:rPr>
          <w:rFonts w:hint="cs"/>
          <w:rtl/>
        </w:rPr>
        <w:t>לאמא</w:t>
      </w:r>
      <w:proofErr w:type="spellEnd"/>
      <w:r w:rsidRPr="0056432A">
        <w:rPr>
          <w:rFonts w:hint="cs"/>
          <w:rtl/>
        </w:rPr>
        <w:t xml:space="preserve"> דווקא, עיי"ש.</w:t>
      </w:r>
    </w:p>
  </w:endnote>
  <w:endnote w:id="24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פ"ג ובתשובת השנה מאמר "פנימיות וחיצוניות בעבודת ה' וסוד ארבעת היסודות" בהקבלת יסוד האש </w:t>
      </w:r>
      <w:proofErr w:type="spellStart"/>
      <w:r>
        <w:rPr>
          <w:rFonts w:hint="cs"/>
          <w:rtl/>
        </w:rPr>
        <w:t>לאמא</w:t>
      </w:r>
      <w:proofErr w:type="spellEnd"/>
      <w:r>
        <w:rPr>
          <w:rFonts w:hint="cs"/>
          <w:rtl/>
        </w:rPr>
        <w:t>-בינה, ובכ"ד.</w:t>
      </w:r>
    </w:p>
  </w:endnote>
  <w:endnote w:id="25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נא, ז.</w:t>
      </w:r>
    </w:p>
  </w:endnote>
  <w:endnote w:id="26">
    <w:p w:rsidR="00FA55F0" w:rsidRDefault="00FA55F0" w:rsidP="00FA55F0">
      <w:pPr>
        <w:pStyle w:val="a4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אל עולם הקבלה עמ' 175.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946" w:rsidRDefault="00717946" w:rsidP="00FA55F0">
      <w:pPr>
        <w:spacing w:after="0" w:line="240" w:lineRule="auto"/>
      </w:pPr>
      <w:r>
        <w:separator/>
      </w:r>
    </w:p>
  </w:footnote>
  <w:footnote w:type="continuationSeparator" w:id="0">
    <w:p w:rsidR="00717946" w:rsidRDefault="00717946" w:rsidP="00FA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41"/>
    <w:rsid w:val="00061E65"/>
    <w:rsid w:val="000F2A41"/>
    <w:rsid w:val="00717946"/>
    <w:rsid w:val="00AC2310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A55F0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A55F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A55F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FA55F0"/>
    <w:rPr>
      <w:noProof/>
      <w:position w:val="-4"/>
      <w:szCs w:val="26"/>
      <w:vertAlign w:val="superscript"/>
    </w:rPr>
  </w:style>
  <w:style w:type="paragraph" w:styleId="a4">
    <w:name w:val="endnote text"/>
    <w:aliases w:val="Endnote Text"/>
    <w:basedOn w:val="a"/>
    <w:link w:val="a5"/>
    <w:semiHidden/>
    <w:rsid w:val="00FA55F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FA55F0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6">
    <w:name w:val="endnote reference"/>
    <w:aliases w:val="Endnote Reference"/>
    <w:basedOn w:val="a3"/>
    <w:semiHidden/>
    <w:rsid w:val="00FA55F0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FA55F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FA55F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A55F0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A55F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A55F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FA55F0"/>
    <w:rPr>
      <w:noProof/>
      <w:position w:val="-4"/>
      <w:szCs w:val="26"/>
      <w:vertAlign w:val="superscript"/>
    </w:rPr>
  </w:style>
  <w:style w:type="paragraph" w:styleId="a4">
    <w:name w:val="endnote text"/>
    <w:aliases w:val="Endnote Text"/>
    <w:basedOn w:val="a"/>
    <w:link w:val="a5"/>
    <w:semiHidden/>
    <w:rsid w:val="00FA55F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FA55F0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6">
    <w:name w:val="endnote reference"/>
    <w:aliases w:val="Endnote Reference"/>
    <w:basedOn w:val="a3"/>
    <w:semiHidden/>
    <w:rsid w:val="00FA55F0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FA55F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FA55F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2017-08-16T10:52:00Z</dcterms:created>
  <dcterms:modified xsi:type="dcterms:W3CDTF">2017-08-16T10:52:00Z</dcterms:modified>
</cp:coreProperties>
</file>