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874" w:rsidRDefault="003A0874" w:rsidP="003A0874">
      <w:pPr>
        <w:pStyle w:val="2"/>
        <w:rPr>
          <w:rFonts w:hint="cs"/>
          <w:rtl/>
        </w:rPr>
      </w:pPr>
      <w:r>
        <w:rPr>
          <w:rFonts w:hint="cs"/>
          <w:rtl/>
        </w:rPr>
        <w:t>לחיות על אי בודד</w:t>
      </w:r>
    </w:p>
    <w:p w:rsidR="003A0874" w:rsidRPr="002E2CC9" w:rsidRDefault="003A0874" w:rsidP="003A0874">
      <w:pPr>
        <w:keepNext/>
        <w:framePr w:dropCap="drop" w:lines="2" w:hSpace="57" w:wrap="around" w:vAnchor="text" w:hAnchor="text" w:xAlign="right"/>
        <w:spacing w:after="0" w:line="760" w:lineRule="exact"/>
        <w:textAlignment w:val="baseline"/>
        <w:rPr>
          <w:rStyle w:val="a7"/>
          <w:rtl/>
        </w:rPr>
      </w:pPr>
      <w:r w:rsidRPr="002E2CC9">
        <w:rPr>
          <w:rStyle w:val="a7"/>
          <w:rFonts w:hint="cs"/>
          <w:rtl/>
        </w:rPr>
        <w:t>א</w:t>
      </w:r>
    </w:p>
    <w:p w:rsidR="003A0874" w:rsidRDefault="003A0874" w:rsidP="003A0874">
      <w:pPr>
        <w:rPr>
          <w:rFonts w:hint="cs"/>
          <w:rtl/>
        </w:rPr>
      </w:pPr>
      <w:r>
        <w:rPr>
          <w:rFonts w:hint="cs"/>
          <w:rtl/>
        </w:rPr>
        <w:t>חד המובנים של נס בלשון הקודש הוא אי בים</w:t>
      </w:r>
      <w:r w:rsidRPr="008636EE">
        <w:rPr>
          <w:rStyle w:val="a3"/>
          <w:rtl/>
        </w:rPr>
        <w:endnoteReference w:id="1"/>
      </w:r>
      <w:r>
        <w:rPr>
          <w:rFonts w:hint="cs"/>
          <w:rtl/>
        </w:rPr>
        <w:t xml:space="preserve">, הנקרא כך על שם התרוממותו מעל פני המים. ההתרוממות של חיי הנישואין צריכה להביא את בני הזוג ל'אי בודד', מקום בו אין איש </w:t>
      </w:r>
      <w:proofErr w:type="spellStart"/>
      <w:r>
        <w:rPr>
          <w:rFonts w:hint="cs"/>
          <w:rtl/>
        </w:rPr>
        <w:t>מבלעדיהם</w:t>
      </w:r>
      <w:proofErr w:type="spellEnd"/>
      <w:r>
        <w:rPr>
          <w:rFonts w:hint="cs"/>
          <w:rtl/>
        </w:rPr>
        <w:t xml:space="preserve"> והם פנויים באופן מלא רק זה לזו וזו לזה. בעצם, זו חזרה למצבם של הזוג הראשון בעולם, אדם וחוה, שהיו לבדם בגן עדן ללא אף אחד אחר בעולם. על כך מאחלים לחתן ולכלה בשבע הברכות "שמח תשמח רעים האהובים כשמחך יצירך בגן עדן מקדם".</w:t>
      </w:r>
    </w:p>
    <w:p w:rsidR="003A0874" w:rsidRDefault="003A0874" w:rsidP="003A0874">
      <w:pPr>
        <w:rPr>
          <w:rFonts w:hint="cs"/>
          <w:rtl/>
        </w:rPr>
      </w:pPr>
      <w:r>
        <w:rPr>
          <w:rFonts w:hint="cs"/>
          <w:rtl/>
        </w:rPr>
        <w:t>אחרי חטאם של אדם וחוה וגירושם מגן עדן, הזוג הבא שהגיע שוב לשלמות של תיקון הוא אברהם אבינו ושרה אמנו</w:t>
      </w:r>
      <w:r w:rsidRPr="008636EE">
        <w:rPr>
          <w:rStyle w:val="a3"/>
          <w:rtl/>
        </w:rPr>
        <w:endnoteReference w:id="2"/>
      </w:r>
      <w:r>
        <w:rPr>
          <w:rFonts w:hint="cs"/>
          <w:rtl/>
        </w:rPr>
        <w:t>. גם אצל אברהם ושרה יש ממד של התבודדות, שהרי אברהם הוא "העברי"</w:t>
      </w:r>
      <w:r w:rsidRPr="008636EE">
        <w:rPr>
          <w:rStyle w:val="a3"/>
          <w:rtl/>
        </w:rPr>
        <w:endnoteReference w:id="3"/>
      </w:r>
      <w:r>
        <w:rPr>
          <w:rFonts w:hint="cs"/>
          <w:rtl/>
        </w:rPr>
        <w:t xml:space="preserve"> </w:t>
      </w:r>
      <w:r>
        <w:rPr>
          <w:rtl/>
        </w:rPr>
        <w:t>–</w:t>
      </w:r>
      <w:r>
        <w:rPr>
          <w:rFonts w:hint="cs"/>
          <w:rtl/>
        </w:rPr>
        <w:t xml:space="preserve"> "שכל העולם כולו לעבר אחד והוא היה לעבר אחד"</w:t>
      </w:r>
      <w:r w:rsidRPr="008636EE">
        <w:rPr>
          <w:rStyle w:val="a3"/>
          <w:rtl/>
        </w:rPr>
        <w:endnoteReference w:id="4"/>
      </w:r>
      <w:r>
        <w:rPr>
          <w:rFonts w:hint="cs"/>
          <w:rtl/>
        </w:rPr>
        <w:t xml:space="preserve">. </w:t>
      </w:r>
    </w:p>
    <w:p w:rsidR="005F4A47" w:rsidRDefault="003A0874" w:rsidP="003A0874">
      <w:proofErr w:type="spellStart"/>
      <w:r w:rsidRPr="0056432A">
        <w:rPr>
          <w:rFonts w:hint="cs"/>
          <w:rtl/>
        </w:rPr>
        <w:t>כח</w:t>
      </w:r>
      <w:proofErr w:type="spellEnd"/>
      <w:r w:rsidRPr="0056432A">
        <w:rPr>
          <w:rFonts w:hint="cs"/>
          <w:rtl/>
        </w:rPr>
        <w:t xml:space="preserve"> ההתבודדות עולה עד "רישא דלא ידע ולא </w:t>
      </w:r>
      <w:proofErr w:type="spellStart"/>
      <w:r w:rsidRPr="0056432A">
        <w:rPr>
          <w:rFonts w:hint="cs"/>
          <w:rtl/>
        </w:rPr>
        <w:t>אתידע</w:t>
      </w:r>
      <w:proofErr w:type="spellEnd"/>
      <w:r w:rsidRPr="0056432A">
        <w:rPr>
          <w:rFonts w:hint="cs"/>
          <w:rtl/>
        </w:rPr>
        <w:t>"</w:t>
      </w:r>
      <w:r w:rsidRPr="008636EE">
        <w:rPr>
          <w:rStyle w:val="a3"/>
          <w:rtl/>
        </w:rPr>
        <w:endnoteReference w:id="5"/>
      </w:r>
      <w:r w:rsidRPr="0056432A">
        <w:rPr>
          <w:rFonts w:hint="cs"/>
          <w:rtl/>
        </w:rPr>
        <w:t xml:space="preserve"> ובהתבודדותם המשותפת מגיעים בני הזוג לשרש הנשמה הגבוה ביותר, השרש בו מציאותם היא אחת ממש (והיינו סוד ה-</w:t>
      </w:r>
      <w:r w:rsidRPr="0056432A">
        <w:rPr>
          <w:rFonts w:hint="cs"/>
          <w:b/>
          <w:bCs/>
          <w:sz w:val="28"/>
          <w:szCs w:val="28"/>
          <w:rtl/>
        </w:rPr>
        <w:t>אי</w:t>
      </w:r>
      <w:r w:rsidRPr="0056432A">
        <w:rPr>
          <w:rFonts w:hint="cs"/>
          <w:rtl/>
        </w:rPr>
        <w:t xml:space="preserve">, </w:t>
      </w:r>
      <w:r w:rsidRPr="0056432A">
        <w:rPr>
          <w:rFonts w:hint="cs"/>
          <w:b/>
          <w:bCs/>
          <w:sz w:val="28"/>
          <w:szCs w:val="28"/>
          <w:rtl/>
        </w:rPr>
        <w:t>א</w:t>
      </w:r>
      <w:r w:rsidRPr="0056432A">
        <w:rPr>
          <w:rFonts w:hint="cs"/>
          <w:rtl/>
        </w:rPr>
        <w:t xml:space="preserve"> שבבחינת "חד ולא </w:t>
      </w:r>
      <w:proofErr w:type="spellStart"/>
      <w:r w:rsidRPr="0056432A">
        <w:rPr>
          <w:rFonts w:hint="cs"/>
          <w:rtl/>
        </w:rPr>
        <w:t>בחושבן</w:t>
      </w:r>
      <w:proofErr w:type="spellEnd"/>
      <w:r w:rsidRPr="0056432A">
        <w:rPr>
          <w:rFonts w:hint="cs"/>
          <w:rtl/>
        </w:rPr>
        <w:t>"</w:t>
      </w:r>
      <w:r w:rsidRPr="008636EE">
        <w:rPr>
          <w:rStyle w:val="a3"/>
          <w:rtl/>
        </w:rPr>
        <w:endnoteReference w:id="6"/>
      </w:r>
      <w:r w:rsidRPr="0056432A">
        <w:rPr>
          <w:rFonts w:hint="cs"/>
          <w:rtl/>
        </w:rPr>
        <w:t xml:space="preserve"> למעלה מ-</w:t>
      </w:r>
      <w:r w:rsidRPr="0056432A">
        <w:rPr>
          <w:rFonts w:hint="cs"/>
          <w:b/>
          <w:bCs/>
          <w:sz w:val="28"/>
          <w:szCs w:val="28"/>
          <w:rtl/>
        </w:rPr>
        <w:t>י</w:t>
      </w:r>
      <w:r w:rsidRPr="0056432A">
        <w:rPr>
          <w:rFonts w:hint="cs"/>
          <w:rtl/>
        </w:rPr>
        <w:t xml:space="preserve"> ספירות). מעלת הבדידות הזו היא הסיבה הפנימית לכך "נסים שבים" נכללו בגבולות ארץ ישראל ובקדושתה</w:t>
      </w:r>
      <w:r w:rsidRPr="008636EE">
        <w:rPr>
          <w:rStyle w:val="a3"/>
          <w:rtl/>
        </w:rPr>
        <w:endnoteReference w:id="7"/>
      </w:r>
      <w:r w:rsidRPr="0056432A">
        <w:rPr>
          <w:rFonts w:hint="cs"/>
          <w:rtl/>
        </w:rPr>
        <w:t>. באי הבודד יש קדושה מיוחדת וכאשר בני הזוג מצליחים להתרומם ל'</w:t>
      </w:r>
      <w:r w:rsidRPr="0056432A">
        <w:rPr>
          <w:rFonts w:hint="cs"/>
          <w:b/>
          <w:bCs/>
          <w:sz w:val="28"/>
          <w:szCs w:val="28"/>
          <w:rtl/>
        </w:rPr>
        <w:t>אי</w:t>
      </w:r>
      <w:r w:rsidRPr="0056432A">
        <w:rPr>
          <w:rFonts w:hint="cs"/>
          <w:rtl/>
        </w:rPr>
        <w:t xml:space="preserve"> בודד' משלהם הם ממשיכים בו קדושה של </w:t>
      </w:r>
      <w:r w:rsidRPr="0056432A">
        <w:rPr>
          <w:rFonts w:hint="cs"/>
          <w:b/>
          <w:bCs/>
          <w:sz w:val="28"/>
          <w:szCs w:val="28"/>
          <w:rtl/>
        </w:rPr>
        <w:t>א</w:t>
      </w:r>
      <w:r w:rsidRPr="0056432A">
        <w:rPr>
          <w:rFonts w:hint="cs"/>
          <w:rtl/>
        </w:rPr>
        <w:t xml:space="preserve">רץ </w:t>
      </w:r>
      <w:r w:rsidRPr="0056432A">
        <w:rPr>
          <w:rFonts w:hint="cs"/>
          <w:b/>
          <w:bCs/>
          <w:sz w:val="28"/>
          <w:szCs w:val="28"/>
          <w:rtl/>
        </w:rPr>
        <w:t>י</w:t>
      </w:r>
      <w:r w:rsidRPr="0056432A">
        <w:rPr>
          <w:rFonts w:hint="cs"/>
          <w:rtl/>
        </w:rPr>
        <w:t>שראל</w:t>
      </w:r>
      <w:r w:rsidRPr="008636EE">
        <w:rPr>
          <w:rStyle w:val="a3"/>
          <w:rtl/>
        </w:rPr>
        <w:endnoteReference w:id="8"/>
      </w:r>
      <w:r w:rsidRPr="0056432A">
        <w:rPr>
          <w:rFonts w:hint="cs"/>
          <w:rtl/>
        </w:rPr>
        <w:t xml:space="preserve"> (ועד לקדושת בית המקדש, בו מתבודדים ה' יתברך עם עמו ישראל) וקדושה של "גן עדן מקדם". באי הבודד, שבבחינת ארץ ישראל, חיים בני הזוג כ"עם לבדד ישכֹן [בהשראת 'שכינה ביניהן'] ובגוים לא יתחשב [כאשר הם מופרשים מתפיסות חיצוניות, גוייות, על חיי הנישואין]"</w:t>
      </w:r>
      <w:r w:rsidRPr="008636EE">
        <w:rPr>
          <w:rStyle w:val="a3"/>
          <w:rtl/>
        </w:rPr>
        <w:endnoteReference w:id="9"/>
      </w:r>
      <w:r w:rsidRPr="0056432A">
        <w:rPr>
          <w:rFonts w:hint="cs"/>
          <w:rtl/>
        </w:rPr>
        <w:t>.</w:t>
      </w:r>
      <w:bookmarkStart w:id="0" w:name="_GoBack"/>
      <w:bookmarkEnd w:id="0"/>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B16" w:rsidRDefault="00444B16" w:rsidP="003A0874">
      <w:pPr>
        <w:spacing w:after="0" w:line="240" w:lineRule="auto"/>
      </w:pPr>
      <w:r>
        <w:separator/>
      </w:r>
    </w:p>
  </w:endnote>
  <w:endnote w:type="continuationSeparator" w:id="0">
    <w:p w:rsidR="00444B16" w:rsidRDefault="00444B16" w:rsidP="003A0874">
      <w:pPr>
        <w:spacing w:after="0" w:line="240" w:lineRule="auto"/>
      </w:pPr>
      <w:r>
        <w:continuationSeparator/>
      </w:r>
    </w:p>
  </w:endnote>
  <w:endnote w:id="1">
    <w:p w:rsidR="003A0874" w:rsidRDefault="003A0874" w:rsidP="003A0874">
      <w:pPr>
        <w:pStyle w:val="a4"/>
        <w:rPr>
          <w:rFonts w:hint="cs"/>
          <w:rtl/>
        </w:rPr>
      </w:pPr>
      <w:r>
        <w:rPr>
          <w:rtl/>
        </w:rPr>
        <w:tab/>
      </w:r>
      <w:r w:rsidRPr="00944A81">
        <w:rPr>
          <w:rtl/>
        </w:rPr>
        <w:endnoteRef/>
      </w:r>
      <w:r>
        <w:rPr>
          <w:rtl/>
        </w:rPr>
        <w:t>.</w:t>
      </w:r>
      <w:r>
        <w:rPr>
          <w:rtl/>
        </w:rPr>
        <w:tab/>
      </w:r>
      <w:r>
        <w:rPr>
          <w:rFonts w:hint="cs"/>
          <w:rtl/>
        </w:rPr>
        <w:t xml:space="preserve">ראה פרוש רש"י במדבר ל, ו. </w:t>
      </w:r>
    </w:p>
  </w:endnote>
  <w:endnote w:id="2">
    <w:p w:rsidR="003A0874" w:rsidRDefault="003A0874" w:rsidP="003A0874">
      <w:pPr>
        <w:pStyle w:val="a4"/>
        <w:rPr>
          <w:rFonts w:hint="cs"/>
          <w:rtl/>
        </w:rPr>
      </w:pPr>
      <w:r>
        <w:rPr>
          <w:rtl/>
        </w:rPr>
        <w:tab/>
      </w:r>
      <w:r w:rsidRPr="00944A81">
        <w:rPr>
          <w:rtl/>
        </w:rPr>
        <w:endnoteRef/>
      </w:r>
      <w:r>
        <w:rPr>
          <w:rtl/>
        </w:rPr>
        <w:t>.</w:t>
      </w:r>
      <w:r>
        <w:rPr>
          <w:rtl/>
        </w:rPr>
        <w:tab/>
      </w:r>
      <w:r>
        <w:rPr>
          <w:rFonts w:hint="cs"/>
          <w:rtl/>
        </w:rPr>
        <w:t xml:space="preserve">ראה זהר ח"א </w:t>
      </w:r>
      <w:proofErr w:type="spellStart"/>
      <w:r>
        <w:rPr>
          <w:rFonts w:hint="cs"/>
          <w:rtl/>
        </w:rPr>
        <w:t>קכח</w:t>
      </w:r>
      <w:proofErr w:type="spellEnd"/>
      <w:r>
        <w:rPr>
          <w:rFonts w:hint="cs"/>
          <w:rtl/>
        </w:rPr>
        <w:t>, א. ספר הליקוטים מלכים-א פ"ד. מגלה עמוקות פרשת תולדות (ובכ"ד).</w:t>
      </w:r>
    </w:p>
  </w:endnote>
  <w:endnote w:id="3">
    <w:p w:rsidR="003A0874" w:rsidRDefault="003A0874" w:rsidP="003A0874">
      <w:pPr>
        <w:pStyle w:val="a4"/>
        <w:rPr>
          <w:rFonts w:hint="cs"/>
          <w:rtl/>
        </w:rPr>
      </w:pPr>
      <w:r>
        <w:rPr>
          <w:rtl/>
        </w:rPr>
        <w:tab/>
      </w:r>
      <w:r w:rsidRPr="00944A81">
        <w:rPr>
          <w:rtl/>
        </w:rPr>
        <w:endnoteRef/>
      </w:r>
      <w:r>
        <w:rPr>
          <w:rtl/>
        </w:rPr>
        <w:t>.</w:t>
      </w:r>
      <w:r>
        <w:rPr>
          <w:rtl/>
        </w:rPr>
        <w:tab/>
      </w:r>
      <w:r>
        <w:rPr>
          <w:rFonts w:hint="cs"/>
          <w:rtl/>
        </w:rPr>
        <w:t xml:space="preserve">בראשית יד, </w:t>
      </w:r>
      <w:proofErr w:type="spellStart"/>
      <w:r>
        <w:rPr>
          <w:rFonts w:hint="cs"/>
          <w:rtl/>
        </w:rPr>
        <w:t>יג</w:t>
      </w:r>
      <w:proofErr w:type="spellEnd"/>
      <w:r>
        <w:rPr>
          <w:rFonts w:hint="cs"/>
          <w:rtl/>
        </w:rPr>
        <w:t>.</w:t>
      </w:r>
    </w:p>
  </w:endnote>
  <w:endnote w:id="4">
    <w:p w:rsidR="003A0874" w:rsidRDefault="003A0874" w:rsidP="003A0874">
      <w:pPr>
        <w:pStyle w:val="a4"/>
        <w:rPr>
          <w:rFonts w:hint="cs"/>
          <w:rtl/>
        </w:rPr>
      </w:pPr>
      <w:r>
        <w:rPr>
          <w:rtl/>
        </w:rPr>
        <w:tab/>
      </w:r>
      <w:r w:rsidRPr="00944A81">
        <w:rPr>
          <w:rtl/>
        </w:rPr>
        <w:endnoteRef/>
      </w:r>
      <w:r>
        <w:rPr>
          <w:rtl/>
        </w:rPr>
        <w:t>.</w:t>
      </w:r>
      <w:r>
        <w:rPr>
          <w:rtl/>
        </w:rPr>
        <w:tab/>
      </w:r>
      <w:r>
        <w:rPr>
          <w:rFonts w:hint="cs"/>
          <w:rtl/>
        </w:rPr>
        <w:t>פסיקתא רבתי לג.</w:t>
      </w:r>
    </w:p>
  </w:endnote>
  <w:endnote w:id="5">
    <w:p w:rsidR="003A0874" w:rsidRDefault="003A0874" w:rsidP="003A0874">
      <w:pPr>
        <w:pStyle w:val="a4"/>
        <w:rPr>
          <w:rFonts w:hint="cs"/>
        </w:rPr>
      </w:pPr>
      <w:r>
        <w:rPr>
          <w:rtl/>
        </w:rPr>
        <w:tab/>
      </w:r>
      <w:r w:rsidRPr="00944A81">
        <w:rPr>
          <w:rtl/>
        </w:rPr>
        <w:endnoteRef/>
      </w:r>
      <w:r>
        <w:rPr>
          <w:rtl/>
        </w:rPr>
        <w:t>.</w:t>
      </w:r>
      <w:r>
        <w:rPr>
          <w:rtl/>
        </w:rPr>
        <w:tab/>
      </w:r>
      <w:r>
        <w:rPr>
          <w:rFonts w:hint="cs"/>
          <w:rtl/>
        </w:rPr>
        <w:t>ראה נפש בריאה פ"ג (ובכ"ד).</w:t>
      </w:r>
    </w:p>
  </w:endnote>
  <w:endnote w:id="6">
    <w:p w:rsidR="003A0874" w:rsidRDefault="003A0874" w:rsidP="003A0874">
      <w:pPr>
        <w:pStyle w:val="a4"/>
        <w:rPr>
          <w:rFonts w:hint="cs"/>
          <w:rtl/>
        </w:rPr>
      </w:pPr>
      <w:r>
        <w:rPr>
          <w:rtl/>
        </w:rPr>
        <w:tab/>
      </w:r>
      <w:r w:rsidRPr="00944A81">
        <w:rPr>
          <w:rtl/>
        </w:rPr>
        <w:endnoteRef/>
      </w:r>
      <w:r>
        <w:rPr>
          <w:rtl/>
        </w:rPr>
        <w:t>.</w:t>
      </w:r>
      <w:r>
        <w:rPr>
          <w:rtl/>
        </w:rPr>
        <w:tab/>
      </w:r>
      <w:r>
        <w:rPr>
          <w:rFonts w:hint="cs"/>
          <w:rtl/>
        </w:rPr>
        <w:t xml:space="preserve">הקדמת תיקוני הזהר. וכמבואר בכ"ד </w:t>
      </w:r>
      <w:proofErr w:type="spellStart"/>
      <w:r>
        <w:rPr>
          <w:rFonts w:hint="cs"/>
          <w:rtl/>
        </w:rPr>
        <w:t>בדא"ח</w:t>
      </w:r>
      <w:proofErr w:type="spellEnd"/>
      <w:r>
        <w:rPr>
          <w:rFonts w:hint="cs"/>
          <w:rtl/>
        </w:rPr>
        <w:t xml:space="preserve"> שהיינו המספר יא </w:t>
      </w:r>
      <w:r>
        <w:rPr>
          <w:rtl/>
        </w:rPr>
        <w:t>–</w:t>
      </w:r>
      <w:r>
        <w:rPr>
          <w:rFonts w:hint="cs"/>
          <w:rtl/>
        </w:rPr>
        <w:t xml:space="preserve"> ראה לדוגמה ד"ה "תפלה למשה" תשכ"ט (קונטרס י"א ניסן </w:t>
      </w:r>
      <w:proofErr w:type="spellStart"/>
      <w:r>
        <w:rPr>
          <w:rFonts w:hint="cs"/>
          <w:rtl/>
        </w:rPr>
        <w:t>תנש"א</w:t>
      </w:r>
      <w:proofErr w:type="spellEnd"/>
      <w:r>
        <w:rPr>
          <w:rFonts w:hint="cs"/>
          <w:rtl/>
        </w:rPr>
        <w:t xml:space="preserve">) </w:t>
      </w:r>
      <w:proofErr w:type="spellStart"/>
      <w:r>
        <w:rPr>
          <w:rFonts w:hint="cs"/>
          <w:rtl/>
        </w:rPr>
        <w:t>והנסמן</w:t>
      </w:r>
      <w:proofErr w:type="spellEnd"/>
      <w:r>
        <w:rPr>
          <w:rFonts w:hint="cs"/>
          <w:rtl/>
        </w:rPr>
        <w:t xml:space="preserve"> שם.</w:t>
      </w:r>
    </w:p>
  </w:endnote>
  <w:endnote w:id="7">
    <w:p w:rsidR="003A0874" w:rsidRDefault="003A0874" w:rsidP="003A0874">
      <w:pPr>
        <w:pStyle w:val="a4"/>
        <w:rPr>
          <w:rFonts w:hint="cs"/>
          <w:rtl/>
        </w:rPr>
      </w:pPr>
      <w:r>
        <w:rPr>
          <w:rtl/>
        </w:rPr>
        <w:tab/>
      </w:r>
      <w:r w:rsidRPr="00944A81">
        <w:rPr>
          <w:rtl/>
        </w:rPr>
        <w:endnoteRef/>
      </w:r>
      <w:r>
        <w:rPr>
          <w:rtl/>
        </w:rPr>
        <w:t>.</w:t>
      </w:r>
      <w:r>
        <w:rPr>
          <w:rtl/>
        </w:rPr>
        <w:tab/>
      </w:r>
      <w:r>
        <w:rPr>
          <w:rFonts w:hint="cs"/>
          <w:rtl/>
        </w:rPr>
        <w:t>ראה פרוש רש"י במדבר ל, ו.</w:t>
      </w:r>
    </w:p>
  </w:endnote>
  <w:endnote w:id="8">
    <w:p w:rsidR="003A0874" w:rsidRPr="0056432A" w:rsidRDefault="003A0874" w:rsidP="003A0874">
      <w:pPr>
        <w:pStyle w:val="a4"/>
        <w:rPr>
          <w:rFonts w:hint="cs"/>
          <w:rtl/>
        </w:rPr>
      </w:pPr>
      <w:r>
        <w:rPr>
          <w:rtl/>
        </w:rPr>
        <w:tab/>
      </w:r>
      <w:r w:rsidRPr="00944A81">
        <w:rPr>
          <w:rtl/>
        </w:rPr>
        <w:endnoteRef/>
      </w:r>
      <w:r>
        <w:rPr>
          <w:rtl/>
        </w:rPr>
        <w:t>.</w:t>
      </w:r>
      <w:r>
        <w:rPr>
          <w:rtl/>
        </w:rPr>
        <w:tab/>
      </w:r>
      <w:r w:rsidRPr="0056432A">
        <w:rPr>
          <w:rFonts w:hint="cs"/>
          <w:rtl/>
        </w:rPr>
        <w:t>היחס בין "</w:t>
      </w:r>
      <w:r w:rsidRPr="0056432A">
        <w:rPr>
          <w:rFonts w:hint="cs"/>
          <w:b/>
          <w:bCs/>
          <w:sz w:val="24"/>
          <w:szCs w:val="24"/>
          <w:rtl/>
        </w:rPr>
        <w:t>נסים</w:t>
      </w:r>
      <w:r w:rsidRPr="0056432A">
        <w:rPr>
          <w:rFonts w:hint="cs"/>
          <w:rtl/>
        </w:rPr>
        <w:t xml:space="preserve"> </w:t>
      </w:r>
      <w:r w:rsidRPr="0056432A">
        <w:rPr>
          <w:rFonts w:hint="cs"/>
          <w:b/>
          <w:bCs/>
          <w:sz w:val="24"/>
          <w:szCs w:val="24"/>
          <w:rtl/>
        </w:rPr>
        <w:t>שבים</w:t>
      </w:r>
      <w:r w:rsidRPr="0056432A">
        <w:rPr>
          <w:rFonts w:hint="cs"/>
          <w:rtl/>
        </w:rPr>
        <w:t xml:space="preserve">" (העולה </w:t>
      </w:r>
      <w:r w:rsidRPr="0056432A">
        <w:rPr>
          <w:rFonts w:hint="cs"/>
          <w:b/>
          <w:bCs/>
          <w:sz w:val="24"/>
          <w:szCs w:val="24"/>
          <w:rtl/>
        </w:rPr>
        <w:t>ח</w:t>
      </w:r>
      <w:r w:rsidRPr="0056432A">
        <w:rPr>
          <w:rFonts w:hint="cs"/>
          <w:rtl/>
        </w:rPr>
        <w:t xml:space="preserve"> פעמים </w:t>
      </w:r>
      <w:r w:rsidRPr="0056432A">
        <w:rPr>
          <w:rFonts w:hint="cs"/>
          <w:b/>
          <w:bCs/>
          <w:sz w:val="24"/>
          <w:szCs w:val="24"/>
          <w:rtl/>
        </w:rPr>
        <w:t>ח</w:t>
      </w:r>
      <w:r w:rsidRPr="0056432A">
        <w:rPr>
          <w:rFonts w:hint="cs"/>
          <w:rtl/>
        </w:rPr>
        <w:t xml:space="preserve"> ברבוע) ו-</w:t>
      </w:r>
      <w:r w:rsidRPr="0056432A">
        <w:rPr>
          <w:rFonts w:hint="cs"/>
          <w:b/>
          <w:bCs/>
          <w:sz w:val="24"/>
          <w:szCs w:val="24"/>
          <w:rtl/>
        </w:rPr>
        <w:t>ארץ</w:t>
      </w:r>
      <w:r w:rsidRPr="0056432A">
        <w:rPr>
          <w:rFonts w:hint="cs"/>
          <w:rtl/>
        </w:rPr>
        <w:t xml:space="preserve"> </w:t>
      </w:r>
      <w:r w:rsidRPr="0056432A">
        <w:rPr>
          <w:rFonts w:hint="cs"/>
          <w:b/>
          <w:bCs/>
          <w:sz w:val="24"/>
          <w:szCs w:val="24"/>
          <w:rtl/>
        </w:rPr>
        <w:t>ישראל</w:t>
      </w:r>
      <w:r w:rsidRPr="0056432A">
        <w:rPr>
          <w:rFonts w:hint="cs"/>
          <w:rtl/>
        </w:rPr>
        <w:t xml:space="preserve"> (העולה </w:t>
      </w:r>
      <w:proofErr w:type="spellStart"/>
      <w:r w:rsidRPr="0056432A">
        <w:rPr>
          <w:rFonts w:hint="cs"/>
          <w:b/>
          <w:bCs/>
          <w:sz w:val="24"/>
          <w:szCs w:val="24"/>
          <w:rtl/>
        </w:rPr>
        <w:t>יג</w:t>
      </w:r>
      <w:proofErr w:type="spellEnd"/>
      <w:r w:rsidRPr="0056432A">
        <w:rPr>
          <w:rFonts w:hint="cs"/>
          <w:rtl/>
        </w:rPr>
        <w:t xml:space="preserve"> פעמים </w:t>
      </w:r>
      <w:r w:rsidRPr="0056432A">
        <w:rPr>
          <w:rFonts w:hint="cs"/>
          <w:b/>
          <w:bCs/>
          <w:sz w:val="24"/>
          <w:szCs w:val="24"/>
          <w:rtl/>
        </w:rPr>
        <w:t>ח</w:t>
      </w:r>
      <w:r w:rsidRPr="0056432A">
        <w:rPr>
          <w:rFonts w:hint="cs"/>
          <w:rtl/>
        </w:rPr>
        <w:t xml:space="preserve"> ברבוע) הוא חתך זהב של </w:t>
      </w:r>
      <w:r w:rsidRPr="0056432A">
        <w:rPr>
          <w:rFonts w:hint="cs"/>
          <w:b/>
          <w:bCs/>
          <w:sz w:val="24"/>
          <w:szCs w:val="24"/>
          <w:rtl/>
        </w:rPr>
        <w:t>ח</w:t>
      </w:r>
      <w:r w:rsidRPr="0056432A">
        <w:rPr>
          <w:rFonts w:hint="cs"/>
          <w:rtl/>
        </w:rPr>
        <w:t>-</w:t>
      </w:r>
      <w:proofErr w:type="spellStart"/>
      <w:r w:rsidRPr="0056432A">
        <w:rPr>
          <w:rFonts w:hint="cs"/>
          <w:b/>
          <w:bCs/>
          <w:sz w:val="24"/>
          <w:szCs w:val="24"/>
          <w:rtl/>
        </w:rPr>
        <w:t>יג</w:t>
      </w:r>
      <w:proofErr w:type="spellEnd"/>
      <w:r w:rsidRPr="0056432A">
        <w:rPr>
          <w:rFonts w:hint="cs"/>
          <w:rtl/>
        </w:rPr>
        <w:t xml:space="preserve"> (המכנה המשותף, </w:t>
      </w:r>
      <w:r w:rsidRPr="0056432A">
        <w:rPr>
          <w:rFonts w:hint="cs"/>
          <w:b/>
          <w:bCs/>
          <w:sz w:val="24"/>
          <w:szCs w:val="24"/>
          <w:rtl/>
        </w:rPr>
        <w:t>ח</w:t>
      </w:r>
      <w:r w:rsidRPr="0056432A">
        <w:rPr>
          <w:rFonts w:hint="cs"/>
          <w:rtl/>
        </w:rPr>
        <w:t xml:space="preserve"> ברבוע, עולה </w:t>
      </w:r>
      <w:r w:rsidRPr="0056432A">
        <w:rPr>
          <w:rFonts w:hint="cs"/>
          <w:b/>
          <w:bCs/>
          <w:sz w:val="24"/>
          <w:szCs w:val="24"/>
          <w:rtl/>
        </w:rPr>
        <w:t>אדם</w:t>
      </w:r>
      <w:r w:rsidRPr="0056432A">
        <w:rPr>
          <w:rFonts w:hint="cs"/>
          <w:rtl/>
        </w:rPr>
        <w:t>-</w:t>
      </w:r>
      <w:r w:rsidRPr="0056432A">
        <w:rPr>
          <w:rFonts w:hint="cs"/>
          <w:b/>
          <w:bCs/>
          <w:sz w:val="24"/>
          <w:szCs w:val="24"/>
          <w:rtl/>
        </w:rPr>
        <w:t>חוה</w:t>
      </w:r>
      <w:r w:rsidRPr="0056432A">
        <w:rPr>
          <w:rFonts w:hint="cs"/>
          <w:rtl/>
        </w:rPr>
        <w:t>, "יצירך בגן עדן מקדם").</w:t>
      </w:r>
    </w:p>
  </w:endnote>
  <w:endnote w:id="9">
    <w:p w:rsidR="003A0874" w:rsidRDefault="003A0874" w:rsidP="003A0874">
      <w:pPr>
        <w:pStyle w:val="a4"/>
        <w:rPr>
          <w:rFonts w:hint="cs"/>
          <w:rtl/>
        </w:rPr>
      </w:pPr>
      <w:r>
        <w:rPr>
          <w:rtl/>
        </w:rPr>
        <w:tab/>
      </w:r>
      <w:r w:rsidRPr="00944A81">
        <w:rPr>
          <w:rtl/>
        </w:rPr>
        <w:endnoteRef/>
      </w:r>
      <w:r>
        <w:rPr>
          <w:rtl/>
        </w:rPr>
        <w:t>.</w:t>
      </w:r>
      <w:r>
        <w:rPr>
          <w:rtl/>
        </w:rPr>
        <w:tab/>
      </w:r>
      <w:r>
        <w:rPr>
          <w:rFonts w:hint="cs"/>
          <w:rtl/>
        </w:rPr>
        <w:t xml:space="preserve">במדבר </w:t>
      </w:r>
      <w:proofErr w:type="spellStart"/>
      <w:r>
        <w:rPr>
          <w:rFonts w:hint="cs"/>
          <w:rtl/>
        </w:rPr>
        <w:t>כג</w:t>
      </w:r>
      <w:proofErr w:type="spellEnd"/>
      <w:r>
        <w:rPr>
          <w:rFonts w:hint="cs"/>
          <w:rtl/>
        </w:rPr>
        <w:t>, ט.</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B16" w:rsidRDefault="00444B16" w:rsidP="003A0874">
      <w:pPr>
        <w:spacing w:after="0" w:line="240" w:lineRule="auto"/>
      </w:pPr>
      <w:r>
        <w:separator/>
      </w:r>
    </w:p>
  </w:footnote>
  <w:footnote w:type="continuationSeparator" w:id="0">
    <w:p w:rsidR="00444B16" w:rsidRDefault="00444B16" w:rsidP="003A08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2A8"/>
    <w:rsid w:val="00061E65"/>
    <w:rsid w:val="003A0874"/>
    <w:rsid w:val="00444B16"/>
    <w:rsid w:val="005902A8"/>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A087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3A087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A087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3A0874"/>
    <w:rPr>
      <w:noProof/>
      <w:position w:val="-4"/>
      <w:szCs w:val="26"/>
      <w:vertAlign w:val="superscript"/>
    </w:rPr>
  </w:style>
  <w:style w:type="paragraph" w:styleId="a4">
    <w:name w:val="endnote text"/>
    <w:aliases w:val="Endnote Text"/>
    <w:basedOn w:val="a"/>
    <w:link w:val="a5"/>
    <w:semiHidden/>
    <w:rsid w:val="003A087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3A0874"/>
    <w:rPr>
      <w:rFonts w:ascii="Times New Roman" w:eastAsia="Times New Roman" w:hAnsi="Times New Roman" w:cs="oprFrank"/>
      <w:sz w:val="20"/>
      <w:szCs w:val="23"/>
      <w:lang w:eastAsia="he-IL"/>
    </w:rPr>
  </w:style>
  <w:style w:type="paragraph" w:customStyle="1" w:styleId="a6">
    <w:name w:val="פתיח תו"/>
    <w:basedOn w:val="a"/>
    <w:link w:val="a7"/>
    <w:rsid w:val="003A087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3A087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3A087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3A087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A087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3A0874"/>
    <w:rPr>
      <w:noProof/>
      <w:position w:val="-4"/>
      <w:szCs w:val="26"/>
      <w:vertAlign w:val="superscript"/>
    </w:rPr>
  </w:style>
  <w:style w:type="paragraph" w:styleId="a4">
    <w:name w:val="endnote text"/>
    <w:aliases w:val="Endnote Text"/>
    <w:basedOn w:val="a"/>
    <w:link w:val="a5"/>
    <w:semiHidden/>
    <w:rsid w:val="003A0874"/>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3A0874"/>
    <w:rPr>
      <w:rFonts w:ascii="Times New Roman" w:eastAsia="Times New Roman" w:hAnsi="Times New Roman" w:cs="oprFrank"/>
      <w:sz w:val="20"/>
      <w:szCs w:val="23"/>
      <w:lang w:eastAsia="he-IL"/>
    </w:rPr>
  </w:style>
  <w:style w:type="paragraph" w:customStyle="1" w:styleId="a6">
    <w:name w:val="פתיח תו"/>
    <w:basedOn w:val="a"/>
    <w:link w:val="a7"/>
    <w:rsid w:val="003A087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3A087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209</Words>
  <Characters>1048</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2017-08-16T10:52:00Z</dcterms:created>
  <dcterms:modified xsi:type="dcterms:W3CDTF">2017-08-16T10:52:00Z</dcterms:modified>
</cp:coreProperties>
</file>