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1A4" w:rsidRDefault="006441A4" w:rsidP="006441A4">
      <w:pPr>
        <w:pStyle w:val="2"/>
        <w:rPr>
          <w:rFonts w:hint="cs"/>
          <w:rtl/>
        </w:rPr>
      </w:pPr>
      <w:r>
        <w:rPr>
          <w:rFonts w:hint="cs"/>
          <w:rtl/>
        </w:rPr>
        <w:t>נסיון הניסה</w:t>
      </w:r>
    </w:p>
    <w:p w:rsidR="006441A4" w:rsidRPr="002E2CC9" w:rsidRDefault="006441A4" w:rsidP="006441A4">
      <w:pPr>
        <w:keepNext/>
        <w:framePr w:dropCap="drop" w:lines="2" w:hSpace="57" w:wrap="around" w:vAnchor="text" w:hAnchor="text" w:xAlign="right"/>
        <w:spacing w:after="0" w:line="760" w:lineRule="exact"/>
        <w:textAlignment w:val="baseline"/>
        <w:rPr>
          <w:rStyle w:val="a7"/>
          <w:rtl/>
        </w:rPr>
      </w:pPr>
      <w:r w:rsidRPr="002E2CC9">
        <w:rPr>
          <w:rStyle w:val="a7"/>
          <w:rFonts w:hint="cs"/>
          <w:rtl/>
        </w:rPr>
        <w:t>נ</w:t>
      </w:r>
    </w:p>
    <w:p w:rsidR="006441A4" w:rsidRDefault="006441A4" w:rsidP="006441A4">
      <w:pPr>
        <w:rPr>
          <w:rFonts w:hint="cs"/>
          <w:rtl/>
        </w:rPr>
      </w:pPr>
      <w:r>
        <w:rPr>
          <w:rFonts w:hint="cs"/>
          <w:rtl/>
        </w:rPr>
        <w:t xml:space="preserve">ס הוא גם מלשון </w:t>
      </w:r>
      <w:proofErr w:type="spellStart"/>
      <w:r>
        <w:rPr>
          <w:rFonts w:hint="cs"/>
          <w:rtl/>
        </w:rPr>
        <w:t>נסיון</w:t>
      </w:r>
      <w:proofErr w:type="spellEnd"/>
      <w:r>
        <w:rPr>
          <w:rFonts w:hint="cs"/>
          <w:rtl/>
        </w:rPr>
        <w:t xml:space="preserve">. אחד </w:t>
      </w:r>
      <w:proofErr w:type="spellStart"/>
      <w:r>
        <w:rPr>
          <w:rFonts w:hint="cs"/>
          <w:rtl/>
        </w:rPr>
        <w:t>הנסיונות</w:t>
      </w:r>
      <w:proofErr w:type="spellEnd"/>
      <w:r>
        <w:rPr>
          <w:rFonts w:hint="cs"/>
          <w:rtl/>
        </w:rPr>
        <w:t xml:space="preserve"> העיקריים בתורה הוא </w:t>
      </w:r>
      <w:proofErr w:type="spellStart"/>
      <w:r>
        <w:rPr>
          <w:rFonts w:hint="cs"/>
          <w:rtl/>
        </w:rPr>
        <w:t>נסיונו</w:t>
      </w:r>
      <w:proofErr w:type="spellEnd"/>
      <w:r>
        <w:rPr>
          <w:rFonts w:hint="cs"/>
          <w:rtl/>
        </w:rPr>
        <w:t xml:space="preserve"> של יוסף הצדיק באשת </w:t>
      </w:r>
      <w:proofErr w:type="spellStart"/>
      <w:r>
        <w:rPr>
          <w:rFonts w:hint="cs"/>
          <w:rtl/>
        </w:rPr>
        <w:t>פוטיפר</w:t>
      </w:r>
      <w:proofErr w:type="spellEnd"/>
      <w:r>
        <w:rPr>
          <w:rFonts w:hint="cs"/>
          <w:rtl/>
        </w:rPr>
        <w:t xml:space="preserve"> </w:t>
      </w:r>
      <w:r>
        <w:rPr>
          <w:rtl/>
        </w:rPr>
        <w:t>–</w:t>
      </w:r>
      <w:r>
        <w:rPr>
          <w:rFonts w:hint="cs"/>
          <w:rtl/>
        </w:rPr>
        <w:t xml:space="preserve"> </w:t>
      </w:r>
      <w:proofErr w:type="spellStart"/>
      <w:r>
        <w:rPr>
          <w:rFonts w:hint="cs"/>
          <w:rtl/>
        </w:rPr>
        <w:t>נסיון</w:t>
      </w:r>
      <w:proofErr w:type="spellEnd"/>
      <w:r>
        <w:rPr>
          <w:rFonts w:hint="cs"/>
          <w:rtl/>
        </w:rPr>
        <w:t xml:space="preserve"> של קדושת הברית ושמירה על חיי הנישואין. בסיפור עמידתו של יוסף הצדיק חוזרת כמה פעמים לשון ניסה, "</w:t>
      </w:r>
      <w:proofErr w:type="spellStart"/>
      <w:r>
        <w:rPr>
          <w:rFonts w:hint="cs"/>
          <w:rtl/>
        </w:rPr>
        <w:t>וינס</w:t>
      </w:r>
      <w:proofErr w:type="spellEnd"/>
      <w:r>
        <w:rPr>
          <w:rFonts w:hint="cs"/>
          <w:rtl/>
        </w:rPr>
        <w:t xml:space="preserve"> החוצה"</w:t>
      </w:r>
      <w:r w:rsidRPr="008636EE">
        <w:rPr>
          <w:rStyle w:val="a3"/>
          <w:rtl/>
        </w:rPr>
        <w:endnoteReference w:id="1"/>
      </w:r>
      <w:r>
        <w:rPr>
          <w:rFonts w:hint="cs"/>
          <w:rtl/>
        </w:rPr>
        <w:t xml:space="preserve">, השייכת גם היא למושג הנס (ובזכות </w:t>
      </w:r>
      <w:proofErr w:type="spellStart"/>
      <w:r>
        <w:rPr>
          <w:rFonts w:hint="cs"/>
          <w:rtl/>
        </w:rPr>
        <w:t>ניסתו</w:t>
      </w:r>
      <w:proofErr w:type="spellEnd"/>
      <w:r>
        <w:rPr>
          <w:rFonts w:hint="cs"/>
          <w:rtl/>
        </w:rPr>
        <w:t xml:space="preserve"> של יוסף הצדיק התחולל הנס הגדול של "הים ראה </w:t>
      </w:r>
      <w:proofErr w:type="spellStart"/>
      <w:r>
        <w:rPr>
          <w:rFonts w:hint="cs"/>
          <w:rtl/>
        </w:rPr>
        <w:t>וינס</w:t>
      </w:r>
      <w:proofErr w:type="spellEnd"/>
      <w:r>
        <w:rPr>
          <w:rFonts w:hint="cs"/>
          <w:rtl/>
        </w:rPr>
        <w:t>"</w:t>
      </w:r>
      <w:r w:rsidRPr="008636EE">
        <w:rPr>
          <w:rStyle w:val="a3"/>
          <w:rtl/>
        </w:rPr>
        <w:endnoteReference w:id="2"/>
      </w:r>
      <w:r>
        <w:rPr>
          <w:rFonts w:hint="cs"/>
          <w:rtl/>
        </w:rPr>
        <w:t>, נס קריעת ים סוף אליו מושווים הנישואין</w:t>
      </w:r>
      <w:r w:rsidRPr="008636EE">
        <w:rPr>
          <w:rStyle w:val="a3"/>
          <w:rtl/>
        </w:rPr>
        <w:endnoteReference w:id="3"/>
      </w:r>
      <w:r>
        <w:rPr>
          <w:rFonts w:hint="cs"/>
          <w:rtl/>
        </w:rPr>
        <w:t>). בזכות ניסת יוסף הצדיק הוא עלה ונתרומם כ"נס להתנוסס"</w:t>
      </w:r>
      <w:r w:rsidRPr="008636EE">
        <w:rPr>
          <w:rStyle w:val="a3"/>
          <w:rtl/>
        </w:rPr>
        <w:endnoteReference w:id="4"/>
      </w:r>
      <w:r>
        <w:rPr>
          <w:rFonts w:hint="cs"/>
          <w:rtl/>
        </w:rPr>
        <w:t>.</w:t>
      </w:r>
    </w:p>
    <w:p w:rsidR="006441A4" w:rsidRDefault="006441A4" w:rsidP="006441A4">
      <w:pPr>
        <w:rPr>
          <w:rFonts w:hint="cs"/>
          <w:rtl/>
        </w:rPr>
      </w:pPr>
      <w:r>
        <w:rPr>
          <w:rFonts w:hint="cs"/>
          <w:rtl/>
        </w:rPr>
        <w:t xml:space="preserve">אצל יוסף הצדיק </w:t>
      </w:r>
      <w:proofErr w:type="spellStart"/>
      <w:r>
        <w:rPr>
          <w:rFonts w:hint="cs"/>
          <w:rtl/>
        </w:rPr>
        <w:t>הנסיון</w:t>
      </w:r>
      <w:proofErr w:type="spellEnd"/>
      <w:r>
        <w:rPr>
          <w:rFonts w:hint="cs"/>
          <w:rtl/>
        </w:rPr>
        <w:t xml:space="preserve"> היה האם יכשל חלילה באשת איש, אשת חברו המבקשת ממנו התייחסות, או שיזכה לנוס החוצה </w:t>
      </w:r>
      <w:proofErr w:type="spellStart"/>
      <w:r>
        <w:rPr>
          <w:rFonts w:hint="cs"/>
          <w:rtl/>
        </w:rPr>
        <w:t>ולהנצל</w:t>
      </w:r>
      <w:proofErr w:type="spellEnd"/>
      <w:r>
        <w:rPr>
          <w:rFonts w:hint="cs"/>
          <w:rtl/>
        </w:rPr>
        <w:t xml:space="preserve">. אמנם, כאשר זוכה האדם למצוא את בת זוגו, </w:t>
      </w:r>
      <w:proofErr w:type="spellStart"/>
      <w:r>
        <w:rPr>
          <w:rFonts w:hint="cs"/>
          <w:rtl/>
        </w:rPr>
        <w:t>נסיון</w:t>
      </w:r>
      <w:proofErr w:type="spellEnd"/>
      <w:r>
        <w:rPr>
          <w:rFonts w:hint="cs"/>
          <w:rtl/>
        </w:rPr>
        <w:t xml:space="preserve"> הנישואין הוא הפוך </w:t>
      </w:r>
      <w:r>
        <w:rPr>
          <w:rtl/>
        </w:rPr>
        <w:t>–</w:t>
      </w:r>
      <w:r>
        <w:rPr>
          <w:rFonts w:hint="cs"/>
          <w:rtl/>
        </w:rPr>
        <w:t xml:space="preserve"> האם יצליח האדם להתרומם בקשר או שחלילה ינוס ממנו החוצה. כאשר אשתו של אדם מבקשת ממנו התייחסות פנימית </w:t>
      </w:r>
      <w:proofErr w:type="spellStart"/>
      <w:r>
        <w:rPr>
          <w:rFonts w:hint="cs"/>
          <w:rtl/>
        </w:rPr>
        <w:t>הנטיה</w:t>
      </w:r>
      <w:proofErr w:type="spellEnd"/>
      <w:r>
        <w:rPr>
          <w:rFonts w:hint="cs"/>
          <w:rtl/>
        </w:rPr>
        <w:t xml:space="preserve"> (הגברית) הראשונה שלו היא לנוס החוצ</w:t>
      </w:r>
      <w:r w:rsidRPr="0056432A">
        <w:rPr>
          <w:rFonts w:hint="cs"/>
          <w:rtl/>
        </w:rPr>
        <w:t xml:space="preserve">ה, לברוח לחיצוניות (דבר הגורם ליניקת החיצונים). עמידה </w:t>
      </w:r>
      <w:proofErr w:type="spellStart"/>
      <w:r w:rsidRPr="0056432A">
        <w:rPr>
          <w:rFonts w:hint="cs"/>
          <w:rtl/>
        </w:rPr>
        <w:t>בנסיון</w:t>
      </w:r>
      <w:proofErr w:type="spellEnd"/>
      <w:r w:rsidRPr="0056432A">
        <w:rPr>
          <w:rFonts w:hint="cs"/>
          <w:rtl/>
        </w:rPr>
        <w:t xml:space="preserve"> היא כאשר </w:t>
      </w:r>
      <w:r>
        <w:rPr>
          <w:rFonts w:hint="cs"/>
          <w:rtl/>
        </w:rPr>
        <w:t xml:space="preserve">האדם מצליח לא לברוח לחיצוניות אלא </w:t>
      </w:r>
      <w:proofErr w:type="spellStart"/>
      <w:r>
        <w:rPr>
          <w:rFonts w:hint="cs"/>
          <w:rtl/>
        </w:rPr>
        <w:t>להענות</w:t>
      </w:r>
      <w:proofErr w:type="spellEnd"/>
      <w:r>
        <w:rPr>
          <w:rFonts w:hint="cs"/>
          <w:rtl/>
        </w:rPr>
        <w:t xml:space="preserve"> לבקשה הפנימית של אשתו ליחס פנימי, ואזי הוא עולה על נס, מתרומם ומרומם את כל חיי הנישואין.</w:t>
      </w:r>
    </w:p>
    <w:p w:rsidR="005F4A47" w:rsidRDefault="006441A4" w:rsidP="006441A4">
      <w:r>
        <w:rPr>
          <w:rFonts w:hint="cs"/>
          <w:rtl/>
        </w:rPr>
        <w:t xml:space="preserve">כדי לברוח מאשת </w:t>
      </w:r>
      <w:proofErr w:type="spellStart"/>
      <w:r>
        <w:rPr>
          <w:rFonts w:hint="cs"/>
          <w:rtl/>
        </w:rPr>
        <w:t>פוטיפר</w:t>
      </w:r>
      <w:proofErr w:type="spellEnd"/>
      <w:r>
        <w:rPr>
          <w:rFonts w:hint="cs"/>
          <w:rtl/>
        </w:rPr>
        <w:t xml:space="preserve"> נזקק יוסף להופעת דמות דיוקנו של אביו, שעסק כל חייו בבריחה </w:t>
      </w:r>
      <w:r>
        <w:rPr>
          <w:rtl/>
        </w:rPr>
        <w:t>–</w:t>
      </w:r>
      <w:r>
        <w:rPr>
          <w:rFonts w:hint="cs"/>
          <w:rtl/>
        </w:rPr>
        <w:t xml:space="preserve"> מעשו, מלבן וכו' (בירושלמי</w:t>
      </w:r>
      <w:r w:rsidRPr="008636EE">
        <w:rPr>
          <w:rStyle w:val="a3"/>
          <w:rtl/>
        </w:rPr>
        <w:endnoteReference w:id="5"/>
      </w:r>
      <w:r>
        <w:rPr>
          <w:rFonts w:hint="cs"/>
          <w:rtl/>
        </w:rPr>
        <w:t xml:space="preserve"> אף נאמר כי לפני יוסף הופיעו אביו ואמו כדי להצילו מחטא, ודומה כי גם בקשרי הנישואין של יעקב היה ממד של בריחה </w:t>
      </w:r>
      <w:r>
        <w:rPr>
          <w:rtl/>
        </w:rPr>
        <w:t>–</w:t>
      </w:r>
      <w:r>
        <w:rPr>
          <w:rFonts w:hint="cs"/>
          <w:rtl/>
        </w:rPr>
        <w:t xml:space="preserve"> מאהל רחל לאהל לאה, מאהל לאה לאהל רחל ומאהלי שתיהן </w:t>
      </w:r>
      <w:proofErr w:type="spellStart"/>
      <w:r>
        <w:rPr>
          <w:rFonts w:hint="cs"/>
          <w:rtl/>
        </w:rPr>
        <w:t>לאהלי</w:t>
      </w:r>
      <w:proofErr w:type="spellEnd"/>
      <w:r>
        <w:rPr>
          <w:rFonts w:hint="cs"/>
          <w:rtl/>
        </w:rPr>
        <w:t xml:space="preserve"> השפחות </w:t>
      </w:r>
      <w:r>
        <w:rPr>
          <w:rtl/>
        </w:rPr>
        <w:t>–</w:t>
      </w:r>
      <w:r>
        <w:rPr>
          <w:rFonts w:hint="cs"/>
          <w:rtl/>
        </w:rPr>
        <w:t xml:space="preserve"> שהדף כל </w:t>
      </w:r>
      <w:proofErr w:type="spellStart"/>
      <w:r>
        <w:rPr>
          <w:rFonts w:hint="cs"/>
          <w:rtl/>
        </w:rPr>
        <w:t>נסיון</w:t>
      </w:r>
      <w:proofErr w:type="spellEnd"/>
      <w:r>
        <w:rPr>
          <w:rFonts w:hint="cs"/>
          <w:rtl/>
        </w:rPr>
        <w:t xml:space="preserve"> להתמודדות 'פנים אל פנים</w:t>
      </w:r>
      <w:r w:rsidRPr="0056432A">
        <w:rPr>
          <w:rFonts w:hint="cs"/>
          <w:rtl/>
        </w:rPr>
        <w:t>' בין יעקב לאשתו</w:t>
      </w:r>
      <w:r w:rsidRPr="008636EE">
        <w:rPr>
          <w:rStyle w:val="a3"/>
          <w:rtl/>
        </w:rPr>
        <w:endnoteReference w:id="6"/>
      </w:r>
      <w:r w:rsidRPr="0056432A">
        <w:rPr>
          <w:rFonts w:hint="cs"/>
          <w:rtl/>
        </w:rPr>
        <w:t xml:space="preserve">. אכן, </w:t>
      </w:r>
      <w:r>
        <w:rPr>
          <w:rFonts w:hint="cs"/>
          <w:rtl/>
        </w:rPr>
        <w:t>חז"ל מלמדים</w:t>
      </w:r>
      <w:r w:rsidRPr="008636EE">
        <w:rPr>
          <w:rStyle w:val="a3"/>
          <w:rtl/>
        </w:rPr>
        <w:endnoteReference w:id="7"/>
      </w:r>
      <w:r w:rsidRPr="0056432A">
        <w:rPr>
          <w:rFonts w:hint="cs"/>
          <w:rtl/>
        </w:rPr>
        <w:t xml:space="preserve"> כי יעקב פנה בכל לילה לאהל שעליו נגלתה לו השכינה, היינו שבאמת נס יעקב אל הממד הפנימי ביותר של </w:t>
      </w:r>
      <w:r w:rsidRPr="0056432A">
        <w:rPr>
          <w:rFonts w:hint="cs"/>
          <w:rtl/>
        </w:rPr>
        <w:lastRenderedPageBreak/>
        <w:t xml:space="preserve">הקשר, בו מתגלה השכינה כפנימיות </w:t>
      </w:r>
      <w:proofErr w:type="spellStart"/>
      <w:r w:rsidRPr="0056432A">
        <w:rPr>
          <w:rFonts w:hint="cs"/>
          <w:rtl/>
        </w:rPr>
        <w:t>האשה</w:t>
      </w:r>
      <w:proofErr w:type="spellEnd"/>
      <w:r w:rsidRPr="0056432A">
        <w:rPr>
          <w:rFonts w:hint="cs"/>
          <w:rtl/>
        </w:rPr>
        <w:t xml:space="preserve">). כדי לעמוד </w:t>
      </w:r>
      <w:proofErr w:type="spellStart"/>
      <w:r w:rsidRPr="0056432A">
        <w:rPr>
          <w:rFonts w:hint="cs"/>
          <w:rtl/>
        </w:rPr>
        <w:t>בנסיון</w:t>
      </w:r>
      <w:proofErr w:type="spellEnd"/>
      <w:r w:rsidRPr="0056432A">
        <w:rPr>
          <w:rFonts w:hint="cs"/>
          <w:rtl/>
        </w:rPr>
        <w:t xml:space="preserve"> ההפוך ולא לנוס החוצה זקוקים להופעת דמויותיהם של אדם וחוה</w:t>
      </w:r>
      <w:r w:rsidRPr="008636EE">
        <w:rPr>
          <w:rStyle w:val="a3"/>
          <w:rtl/>
        </w:rPr>
        <w:endnoteReference w:id="8"/>
      </w:r>
      <w:r w:rsidRPr="0056432A">
        <w:rPr>
          <w:rFonts w:hint="cs"/>
          <w:rtl/>
        </w:rPr>
        <w:t xml:space="preserve">, שהיו יחד "בגן עדן מקדם" ביחסים ישירים ופנימיים ללא בריחה זה מזו </w:t>
      </w:r>
      <w:r w:rsidRPr="0056432A">
        <w:rPr>
          <w:rtl/>
        </w:rPr>
        <w:t>–</w:t>
      </w:r>
      <w:r w:rsidRPr="0056432A">
        <w:rPr>
          <w:rFonts w:hint="cs"/>
          <w:rtl/>
        </w:rPr>
        <w:t xml:space="preserve"> "ויהיו שניהם ערומים האדם ואשתו ולא </w:t>
      </w:r>
      <w:proofErr w:type="spellStart"/>
      <w:r w:rsidRPr="0056432A">
        <w:rPr>
          <w:rFonts w:hint="cs"/>
          <w:rtl/>
        </w:rPr>
        <w:t>יתבֹששו</w:t>
      </w:r>
      <w:proofErr w:type="spellEnd"/>
      <w:r w:rsidRPr="0056432A">
        <w:rPr>
          <w:rFonts w:hint="cs"/>
          <w:rtl/>
        </w:rPr>
        <w:t>"</w:t>
      </w:r>
      <w:r w:rsidRPr="008636EE">
        <w:rPr>
          <w:rStyle w:val="a3"/>
          <w:rtl/>
        </w:rPr>
        <w:endnoteReference w:id="9"/>
      </w:r>
      <w:r w:rsidRPr="0056432A">
        <w:rPr>
          <w:rFonts w:hint="cs"/>
          <w:rtl/>
        </w:rPr>
        <w:t xml:space="preserve"> (והחטא התחיל מכך שהאדם 'ברח' והותיר את אשתו לבד להתדיין עם הנחש). כמובן, באופן מתוקן הישירות והחתירה למגע פנימי איננה פוגמת כלל בצניעות, הנובעת מכך שבעומק הפנימי ביותר נותר בן הזוג בלתי-נודע בעצם</w:t>
      </w:r>
      <w:r w:rsidRPr="008636EE">
        <w:rPr>
          <w:rStyle w:val="a3"/>
          <w:rtl/>
        </w:rPr>
        <w:endnoteReference w:id="10"/>
      </w:r>
      <w:r w:rsidRPr="0056432A">
        <w:rPr>
          <w:rFonts w:hint="cs"/>
          <w:rtl/>
        </w:rPr>
        <w:t xml:space="preserve">. ההיפך הוא הנכון, ככל שמתאמצים לא לברוח לחיצוניות אלא להתייחס בפנימיות כך עולים על נס עד לשרש בני הזוג בסוד </w:t>
      </w:r>
      <w:proofErr w:type="spellStart"/>
      <w:r w:rsidRPr="0056432A">
        <w:rPr>
          <w:rFonts w:hint="cs"/>
          <w:rtl/>
        </w:rPr>
        <w:t>ה"צניעותא</w:t>
      </w:r>
      <w:proofErr w:type="spellEnd"/>
      <w:r w:rsidRPr="0056432A">
        <w:rPr>
          <w:rFonts w:hint="cs"/>
          <w:rtl/>
        </w:rPr>
        <w:t>"</w:t>
      </w:r>
      <w:r w:rsidRPr="008636EE">
        <w:rPr>
          <w:rStyle w:val="a3"/>
          <w:rtl/>
        </w:rPr>
        <w:endnoteReference w:id="11"/>
      </w:r>
      <w:r w:rsidRPr="0056432A">
        <w:rPr>
          <w:rFonts w:hint="cs"/>
          <w:rtl/>
        </w:rPr>
        <w:t xml:space="preserve">, "רישא דלא ידע ולא </w:t>
      </w:r>
      <w:proofErr w:type="spellStart"/>
      <w:r w:rsidRPr="0056432A">
        <w:rPr>
          <w:rFonts w:hint="cs"/>
          <w:rtl/>
        </w:rPr>
        <w:t>אתידע</w:t>
      </w:r>
      <w:proofErr w:type="spellEnd"/>
      <w:r w:rsidRPr="0056432A">
        <w:rPr>
          <w:rFonts w:hint="cs"/>
          <w:rtl/>
        </w:rPr>
        <w:t>", בו אינם נודעים זה לזו בעצם</w:t>
      </w:r>
      <w:r w:rsidRPr="008636EE">
        <w:rPr>
          <w:rStyle w:val="a3"/>
          <w:rtl/>
        </w:rPr>
        <w:endnoteReference w:id="12"/>
      </w:r>
      <w:r w:rsidRPr="0056432A">
        <w:rPr>
          <w:rFonts w:hint="cs"/>
          <w:rtl/>
        </w:rPr>
        <w:t>.</w:t>
      </w:r>
      <w:bookmarkStart w:id="0" w:name="_GoBack"/>
      <w:bookmarkEnd w:id="0"/>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101" w:rsidRDefault="004E5101" w:rsidP="006441A4">
      <w:pPr>
        <w:spacing w:after="0" w:line="240" w:lineRule="auto"/>
      </w:pPr>
      <w:r>
        <w:separator/>
      </w:r>
    </w:p>
  </w:endnote>
  <w:endnote w:type="continuationSeparator" w:id="0">
    <w:p w:rsidR="004E5101" w:rsidRDefault="004E5101" w:rsidP="006441A4">
      <w:pPr>
        <w:spacing w:after="0" w:line="240" w:lineRule="auto"/>
      </w:pPr>
      <w:r>
        <w:continuationSeparator/>
      </w:r>
    </w:p>
  </w:endnote>
  <w:endnote w:id="1">
    <w:p w:rsidR="006441A4" w:rsidRDefault="006441A4" w:rsidP="006441A4">
      <w:pPr>
        <w:pStyle w:val="a4"/>
        <w:rPr>
          <w:rFonts w:hint="cs"/>
        </w:rPr>
      </w:pPr>
      <w:r>
        <w:rPr>
          <w:rtl/>
        </w:rPr>
        <w:tab/>
      </w:r>
      <w:r w:rsidRPr="00944A81">
        <w:rPr>
          <w:rtl/>
        </w:rPr>
        <w:endnoteRef/>
      </w:r>
      <w:r>
        <w:rPr>
          <w:rtl/>
        </w:rPr>
        <w:t>.</w:t>
      </w:r>
      <w:r>
        <w:rPr>
          <w:rtl/>
        </w:rPr>
        <w:tab/>
      </w:r>
      <w:r>
        <w:rPr>
          <w:rFonts w:hint="cs"/>
          <w:rtl/>
        </w:rPr>
        <w:t xml:space="preserve">בראשית לט, </w:t>
      </w:r>
      <w:proofErr w:type="spellStart"/>
      <w:r>
        <w:rPr>
          <w:rFonts w:hint="cs"/>
          <w:rtl/>
        </w:rPr>
        <w:t>יג</w:t>
      </w:r>
      <w:proofErr w:type="spellEnd"/>
      <w:r>
        <w:rPr>
          <w:rFonts w:hint="cs"/>
          <w:rtl/>
        </w:rPr>
        <w:t>.</w:t>
      </w:r>
    </w:p>
  </w:endnote>
  <w:endnote w:id="2">
    <w:p w:rsidR="006441A4" w:rsidRDefault="006441A4" w:rsidP="006441A4">
      <w:pPr>
        <w:pStyle w:val="a4"/>
        <w:rPr>
          <w:rFonts w:hint="cs"/>
        </w:rPr>
      </w:pPr>
      <w:r>
        <w:rPr>
          <w:rtl/>
        </w:rPr>
        <w:tab/>
      </w:r>
      <w:r w:rsidRPr="00944A81">
        <w:rPr>
          <w:rtl/>
        </w:rPr>
        <w:endnoteRef/>
      </w:r>
      <w:r>
        <w:rPr>
          <w:rtl/>
        </w:rPr>
        <w:t>.</w:t>
      </w:r>
      <w:r>
        <w:rPr>
          <w:rtl/>
        </w:rPr>
        <w:tab/>
      </w:r>
      <w:r>
        <w:rPr>
          <w:rFonts w:hint="cs"/>
          <w:rtl/>
        </w:rPr>
        <w:t xml:space="preserve">תהלים קיד, ג. וראה </w:t>
      </w:r>
      <w:proofErr w:type="spellStart"/>
      <w:r>
        <w:rPr>
          <w:rFonts w:hint="cs"/>
          <w:rtl/>
        </w:rPr>
        <w:t>תנחומא</w:t>
      </w:r>
      <w:proofErr w:type="spellEnd"/>
      <w:r>
        <w:rPr>
          <w:rFonts w:hint="cs"/>
          <w:rtl/>
        </w:rPr>
        <w:t xml:space="preserve"> וישב ט ובכ"ד.</w:t>
      </w:r>
      <w:r w:rsidRPr="004068CA">
        <w:rPr>
          <w:rtl/>
        </w:rPr>
        <w:t xml:space="preserve"> </w:t>
      </w:r>
    </w:p>
  </w:endnote>
  <w:endnote w:id="3">
    <w:p w:rsidR="006441A4" w:rsidRDefault="006441A4" w:rsidP="006441A4">
      <w:pPr>
        <w:pStyle w:val="a4"/>
        <w:rPr>
          <w:rFonts w:hint="cs"/>
        </w:rPr>
      </w:pPr>
      <w:r>
        <w:rPr>
          <w:rtl/>
        </w:rPr>
        <w:tab/>
      </w:r>
      <w:r w:rsidRPr="00944A81">
        <w:rPr>
          <w:rtl/>
        </w:rPr>
        <w:endnoteRef/>
      </w:r>
      <w:r>
        <w:rPr>
          <w:rtl/>
        </w:rPr>
        <w:t>.</w:t>
      </w:r>
      <w:r>
        <w:rPr>
          <w:rtl/>
        </w:rPr>
        <w:tab/>
      </w:r>
      <w:r>
        <w:rPr>
          <w:rFonts w:hint="cs"/>
          <w:rtl/>
        </w:rPr>
        <w:t>סוטה ב, א. (וכנ"ל בתורה "נס הנישואין").</w:t>
      </w:r>
    </w:p>
  </w:endnote>
  <w:endnote w:id="4">
    <w:p w:rsidR="006441A4" w:rsidRDefault="006441A4" w:rsidP="006441A4">
      <w:pPr>
        <w:pStyle w:val="a4"/>
        <w:rPr>
          <w:rFonts w:hint="cs"/>
          <w:rtl/>
        </w:rPr>
      </w:pPr>
      <w:r>
        <w:rPr>
          <w:rtl/>
        </w:rPr>
        <w:tab/>
      </w:r>
      <w:r w:rsidRPr="00944A81">
        <w:rPr>
          <w:rtl/>
        </w:rPr>
        <w:endnoteRef/>
      </w:r>
      <w:r>
        <w:rPr>
          <w:rtl/>
        </w:rPr>
        <w:t>.</w:t>
      </w:r>
      <w:r>
        <w:rPr>
          <w:rtl/>
        </w:rPr>
        <w:tab/>
      </w:r>
      <w:r>
        <w:rPr>
          <w:rFonts w:hint="cs"/>
          <w:rtl/>
        </w:rPr>
        <w:t>תהלים ס, ו.</w:t>
      </w:r>
    </w:p>
  </w:endnote>
  <w:endnote w:id="5">
    <w:p w:rsidR="006441A4" w:rsidRDefault="006441A4" w:rsidP="006441A4">
      <w:pPr>
        <w:pStyle w:val="a4"/>
        <w:rPr>
          <w:rFonts w:hint="cs"/>
          <w:rtl/>
        </w:rPr>
      </w:pPr>
      <w:r>
        <w:rPr>
          <w:rtl/>
        </w:rPr>
        <w:tab/>
      </w:r>
      <w:r w:rsidRPr="00944A81">
        <w:rPr>
          <w:rtl/>
        </w:rPr>
        <w:endnoteRef/>
      </w:r>
      <w:r>
        <w:rPr>
          <w:rtl/>
        </w:rPr>
        <w:t>.</w:t>
      </w:r>
      <w:r>
        <w:rPr>
          <w:rtl/>
        </w:rPr>
        <w:tab/>
      </w:r>
      <w:r>
        <w:rPr>
          <w:rFonts w:hint="cs"/>
          <w:rtl/>
        </w:rPr>
        <w:t xml:space="preserve">הוריות פ"ה ה"ה. </w:t>
      </w:r>
    </w:p>
  </w:endnote>
  <w:endnote w:id="6">
    <w:p w:rsidR="006441A4" w:rsidRPr="0056432A" w:rsidRDefault="006441A4" w:rsidP="006441A4">
      <w:pPr>
        <w:pStyle w:val="a4"/>
        <w:rPr>
          <w:rFonts w:hint="cs"/>
          <w:rtl/>
        </w:rPr>
      </w:pPr>
      <w:r>
        <w:rPr>
          <w:rtl/>
        </w:rPr>
        <w:tab/>
      </w:r>
      <w:r w:rsidRPr="00944A81">
        <w:rPr>
          <w:rtl/>
        </w:rPr>
        <w:endnoteRef/>
      </w:r>
      <w:r>
        <w:rPr>
          <w:rtl/>
        </w:rPr>
        <w:t>.</w:t>
      </w:r>
      <w:r>
        <w:rPr>
          <w:rtl/>
        </w:rPr>
        <w:tab/>
      </w:r>
      <w:r w:rsidRPr="0056432A">
        <w:rPr>
          <w:rFonts w:hint="cs"/>
          <w:rtl/>
        </w:rPr>
        <w:t xml:space="preserve">וראה בראשית רבה </w:t>
      </w:r>
      <w:proofErr w:type="spellStart"/>
      <w:r w:rsidRPr="0056432A">
        <w:rPr>
          <w:rFonts w:hint="cs"/>
          <w:rtl/>
        </w:rPr>
        <w:t>עא</w:t>
      </w:r>
      <w:proofErr w:type="spellEnd"/>
      <w:r w:rsidRPr="0056432A">
        <w:rPr>
          <w:rFonts w:hint="cs"/>
          <w:rtl/>
        </w:rPr>
        <w:t>, ז כיצד 'התחמק' יעקב מלחגור מותניו ולהתפלל על בנים מרחל בנימוק שכבר יש לו בנים מנשותיו האחרות.</w:t>
      </w:r>
    </w:p>
  </w:endnote>
  <w:endnote w:id="7">
    <w:p w:rsidR="006441A4" w:rsidRDefault="006441A4" w:rsidP="006441A4">
      <w:pPr>
        <w:pStyle w:val="a4"/>
        <w:rPr>
          <w:rFonts w:hint="cs"/>
          <w:rtl/>
        </w:rPr>
      </w:pPr>
      <w:r>
        <w:rPr>
          <w:rtl/>
        </w:rPr>
        <w:tab/>
      </w:r>
      <w:r w:rsidRPr="00944A81">
        <w:rPr>
          <w:rtl/>
        </w:rPr>
        <w:endnoteRef/>
      </w:r>
      <w:r>
        <w:rPr>
          <w:rtl/>
        </w:rPr>
        <w:t>.</w:t>
      </w:r>
      <w:r>
        <w:rPr>
          <w:rtl/>
        </w:rPr>
        <w:tab/>
      </w:r>
      <w:r>
        <w:rPr>
          <w:rFonts w:hint="cs"/>
          <w:rtl/>
        </w:rPr>
        <w:t xml:space="preserve">שבת </w:t>
      </w:r>
      <w:proofErr w:type="spellStart"/>
      <w:r>
        <w:rPr>
          <w:rFonts w:hint="cs"/>
          <w:rtl/>
        </w:rPr>
        <w:t>נה</w:t>
      </w:r>
      <w:proofErr w:type="spellEnd"/>
      <w:r>
        <w:rPr>
          <w:rFonts w:hint="cs"/>
          <w:rtl/>
        </w:rPr>
        <w:t>, ב וברש"י שם ד"ה "אחת של שכינה".</w:t>
      </w:r>
    </w:p>
  </w:endnote>
  <w:endnote w:id="8">
    <w:p w:rsidR="006441A4" w:rsidRDefault="006441A4" w:rsidP="006441A4">
      <w:pPr>
        <w:pStyle w:val="a4"/>
        <w:rPr>
          <w:rFonts w:hint="cs"/>
        </w:rPr>
      </w:pPr>
      <w:r>
        <w:rPr>
          <w:rtl/>
        </w:rPr>
        <w:tab/>
      </w:r>
      <w:r w:rsidRPr="00944A81">
        <w:rPr>
          <w:rtl/>
        </w:rPr>
        <w:endnoteRef/>
      </w:r>
      <w:r>
        <w:rPr>
          <w:rtl/>
        </w:rPr>
        <w:t>.</w:t>
      </w:r>
      <w:r>
        <w:rPr>
          <w:rtl/>
        </w:rPr>
        <w:tab/>
      </w:r>
      <w:r>
        <w:rPr>
          <w:rFonts w:hint="cs"/>
          <w:rtl/>
        </w:rPr>
        <w:t>וראה גם בתורה הקודמת (שם מושווים גם אברהם ושרה לאדם וחוה, וגם יחסי אברהם ושרה מתאפיינים בתורה בישירות ללא 'בריחות').</w:t>
      </w:r>
    </w:p>
  </w:endnote>
  <w:endnote w:id="9">
    <w:p w:rsidR="006441A4" w:rsidRDefault="006441A4" w:rsidP="006441A4">
      <w:pPr>
        <w:pStyle w:val="a4"/>
        <w:rPr>
          <w:rFonts w:hint="cs"/>
        </w:rPr>
      </w:pPr>
      <w:r>
        <w:rPr>
          <w:rtl/>
        </w:rPr>
        <w:tab/>
      </w:r>
      <w:r w:rsidRPr="00944A81">
        <w:rPr>
          <w:rtl/>
        </w:rPr>
        <w:endnoteRef/>
      </w:r>
      <w:r>
        <w:rPr>
          <w:rtl/>
        </w:rPr>
        <w:t>.</w:t>
      </w:r>
      <w:r>
        <w:rPr>
          <w:rtl/>
        </w:rPr>
        <w:tab/>
      </w:r>
      <w:r>
        <w:rPr>
          <w:rFonts w:hint="cs"/>
          <w:rtl/>
        </w:rPr>
        <w:t>בראשית ב, כה.</w:t>
      </w:r>
    </w:p>
  </w:endnote>
  <w:endnote w:id="10">
    <w:p w:rsidR="006441A4" w:rsidRDefault="006441A4" w:rsidP="006441A4">
      <w:pPr>
        <w:pStyle w:val="a4"/>
        <w:rPr>
          <w:rFonts w:hint="cs"/>
          <w:rtl/>
        </w:rPr>
      </w:pPr>
      <w:r>
        <w:rPr>
          <w:rtl/>
        </w:rPr>
        <w:tab/>
      </w:r>
      <w:r w:rsidRPr="00944A81">
        <w:rPr>
          <w:rtl/>
        </w:rPr>
        <w:endnoteRef/>
      </w:r>
      <w:r>
        <w:rPr>
          <w:rtl/>
        </w:rPr>
        <w:t>.</w:t>
      </w:r>
      <w:r>
        <w:rPr>
          <w:rtl/>
        </w:rPr>
        <w:tab/>
      </w:r>
      <w:r>
        <w:rPr>
          <w:rFonts w:hint="cs"/>
          <w:rtl/>
        </w:rPr>
        <w:t xml:space="preserve">ראה יין משמח </w:t>
      </w:r>
      <w:proofErr w:type="spellStart"/>
      <w:r>
        <w:rPr>
          <w:rFonts w:hint="cs"/>
          <w:rtl/>
        </w:rPr>
        <w:t>ח"ב</w:t>
      </w:r>
      <w:proofErr w:type="spellEnd"/>
      <w:r>
        <w:rPr>
          <w:rFonts w:hint="cs"/>
          <w:rtl/>
        </w:rPr>
        <w:t xml:space="preserve"> שער ה בתורה "ידיעה ואי-ידיעה" וח"ד שער ד בתורה "נוגע ואינו נוגע".</w:t>
      </w:r>
    </w:p>
  </w:endnote>
  <w:endnote w:id="11">
    <w:p w:rsidR="006441A4" w:rsidRDefault="006441A4" w:rsidP="006441A4">
      <w:pPr>
        <w:pStyle w:val="a4"/>
        <w:rPr>
          <w:rFonts w:hint="cs"/>
          <w:rtl/>
        </w:rPr>
      </w:pPr>
      <w:r>
        <w:rPr>
          <w:rtl/>
        </w:rPr>
        <w:tab/>
      </w:r>
      <w:r w:rsidRPr="00944A81">
        <w:rPr>
          <w:rtl/>
        </w:rPr>
        <w:endnoteRef/>
      </w:r>
      <w:r>
        <w:rPr>
          <w:rtl/>
        </w:rPr>
        <w:t>.</w:t>
      </w:r>
      <w:r>
        <w:rPr>
          <w:rtl/>
        </w:rPr>
        <w:tab/>
      </w:r>
      <w:r>
        <w:rPr>
          <w:rFonts w:hint="cs"/>
          <w:rtl/>
        </w:rPr>
        <w:t xml:space="preserve">ראה עמק המלך שי"א </w:t>
      </w:r>
      <w:proofErr w:type="spellStart"/>
      <w:r>
        <w:rPr>
          <w:rFonts w:hint="cs"/>
          <w:rtl/>
        </w:rPr>
        <w:t>פכ"ה</w:t>
      </w:r>
      <w:proofErr w:type="spellEnd"/>
      <w:r>
        <w:rPr>
          <w:rFonts w:hint="cs"/>
          <w:rtl/>
        </w:rPr>
        <w:t xml:space="preserve">. ביאור </w:t>
      </w:r>
      <w:proofErr w:type="spellStart"/>
      <w:r>
        <w:rPr>
          <w:rFonts w:hint="cs"/>
          <w:rtl/>
        </w:rPr>
        <w:t>הגר"א</w:t>
      </w:r>
      <w:proofErr w:type="spellEnd"/>
      <w:r>
        <w:rPr>
          <w:rFonts w:hint="cs"/>
          <w:rtl/>
        </w:rPr>
        <w:t xml:space="preserve"> לספרא </w:t>
      </w:r>
      <w:proofErr w:type="spellStart"/>
      <w:r>
        <w:rPr>
          <w:rFonts w:hint="cs"/>
          <w:rtl/>
        </w:rPr>
        <w:t>דצניעותא</w:t>
      </w:r>
      <w:proofErr w:type="spellEnd"/>
      <w:r>
        <w:rPr>
          <w:rFonts w:hint="cs"/>
          <w:rtl/>
        </w:rPr>
        <w:t xml:space="preserve"> (בריבוי מקומות). שכינה ביניהם פ"ח (ולעיל שער ה בתורה "שערי טבילה").</w:t>
      </w:r>
    </w:p>
  </w:endnote>
  <w:endnote w:id="12">
    <w:p w:rsidR="006441A4" w:rsidRDefault="006441A4" w:rsidP="006441A4">
      <w:pPr>
        <w:pStyle w:val="a4"/>
        <w:rPr>
          <w:rFonts w:hint="cs"/>
        </w:rPr>
      </w:pPr>
      <w:r>
        <w:rPr>
          <w:rtl/>
        </w:rPr>
        <w:tab/>
      </w:r>
      <w:r w:rsidRPr="00944A81">
        <w:rPr>
          <w:rtl/>
        </w:rPr>
        <w:endnoteRef/>
      </w:r>
      <w:r>
        <w:rPr>
          <w:rtl/>
        </w:rPr>
        <w:t>.</w:t>
      </w:r>
      <w:r>
        <w:rPr>
          <w:rtl/>
        </w:rPr>
        <w:tab/>
      </w:r>
      <w:r>
        <w:rPr>
          <w:rFonts w:hint="cs"/>
          <w:rtl/>
        </w:rPr>
        <w:t xml:space="preserve">וראה גם בתורה הקודמת על מעלת ההתבודדות המעלה את בני הזוג </w:t>
      </w:r>
      <w:proofErr w:type="spellStart"/>
      <w:r>
        <w:rPr>
          <w:rFonts w:hint="cs"/>
          <w:rtl/>
        </w:rPr>
        <w:t>לשרשם</w:t>
      </w:r>
      <w:proofErr w:type="spellEnd"/>
      <w:r>
        <w:rPr>
          <w:rFonts w:hint="cs"/>
          <w:rtl/>
        </w:rPr>
        <w:t xml:space="preserve"> </w:t>
      </w:r>
      <w:proofErr w:type="spellStart"/>
      <w:r>
        <w:rPr>
          <w:rFonts w:hint="cs"/>
          <w:rtl/>
        </w:rPr>
        <w:t>ברדל"א</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101" w:rsidRDefault="004E5101" w:rsidP="006441A4">
      <w:pPr>
        <w:spacing w:after="0" w:line="240" w:lineRule="auto"/>
      </w:pPr>
      <w:r>
        <w:separator/>
      </w:r>
    </w:p>
  </w:footnote>
  <w:footnote w:type="continuationSeparator" w:id="0">
    <w:p w:rsidR="004E5101" w:rsidRDefault="004E5101" w:rsidP="006441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93D"/>
    <w:rsid w:val="00061E65"/>
    <w:rsid w:val="0007193D"/>
    <w:rsid w:val="004E5101"/>
    <w:rsid w:val="006441A4"/>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441A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6441A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441A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6441A4"/>
    <w:rPr>
      <w:noProof/>
      <w:position w:val="-4"/>
      <w:szCs w:val="26"/>
      <w:vertAlign w:val="superscript"/>
    </w:rPr>
  </w:style>
  <w:style w:type="paragraph" w:styleId="a4">
    <w:name w:val="endnote text"/>
    <w:aliases w:val="Endnote Text"/>
    <w:basedOn w:val="a"/>
    <w:link w:val="a5"/>
    <w:semiHidden/>
    <w:rsid w:val="006441A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6441A4"/>
    <w:rPr>
      <w:rFonts w:ascii="Times New Roman" w:eastAsia="Times New Roman" w:hAnsi="Times New Roman" w:cs="oprFrank"/>
      <w:sz w:val="20"/>
      <w:szCs w:val="23"/>
      <w:lang w:eastAsia="he-IL"/>
    </w:rPr>
  </w:style>
  <w:style w:type="paragraph" w:customStyle="1" w:styleId="a6">
    <w:name w:val="פתיח תו"/>
    <w:basedOn w:val="a"/>
    <w:link w:val="a7"/>
    <w:rsid w:val="006441A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6441A4"/>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441A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6441A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441A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6441A4"/>
    <w:rPr>
      <w:noProof/>
      <w:position w:val="-4"/>
      <w:szCs w:val="26"/>
      <w:vertAlign w:val="superscript"/>
    </w:rPr>
  </w:style>
  <w:style w:type="paragraph" w:styleId="a4">
    <w:name w:val="endnote text"/>
    <w:aliases w:val="Endnote Text"/>
    <w:basedOn w:val="a"/>
    <w:link w:val="a5"/>
    <w:semiHidden/>
    <w:rsid w:val="006441A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6441A4"/>
    <w:rPr>
      <w:rFonts w:ascii="Times New Roman" w:eastAsia="Times New Roman" w:hAnsi="Times New Roman" w:cs="oprFrank"/>
      <w:sz w:val="20"/>
      <w:szCs w:val="23"/>
      <w:lang w:eastAsia="he-IL"/>
    </w:rPr>
  </w:style>
  <w:style w:type="paragraph" w:customStyle="1" w:styleId="a6">
    <w:name w:val="פתיח תו"/>
    <w:basedOn w:val="a"/>
    <w:link w:val="a7"/>
    <w:rsid w:val="006441A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6441A4"/>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1637</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2017-08-16T10:53:00Z</dcterms:created>
  <dcterms:modified xsi:type="dcterms:W3CDTF">2017-08-16T10:53:00Z</dcterms:modified>
</cp:coreProperties>
</file>