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19" w:rsidRPr="00FF4919" w:rsidRDefault="00FF4919" w:rsidP="00FF4919">
      <w:pPr>
        <w:spacing w:before="1080" w:after="720" w:line="240" w:lineRule="auto"/>
        <w:ind w:left="-45"/>
        <w:jc w:val="right"/>
        <w:outlineLvl w:val="1"/>
        <w:rPr>
          <w:rFonts w:ascii="DF Calligraphic Ornaments LET" w:eastAsia="Times New Roman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</w:rPr>
      </w:pPr>
      <w:r w:rsidRPr="00FF4919">
        <w:rPr>
          <w:rFonts w:ascii="DF Calligraphic Ornaments LET" w:eastAsia="Times New Roman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</w:rPr>
        <w:t>"וימינו תחבקני"</w:t>
      </w:r>
    </w:p>
    <w:p w:rsidR="00FF4919" w:rsidRPr="00FF4919" w:rsidRDefault="00FF4919" w:rsidP="00FF4919">
      <w:pPr>
        <w:keepNext/>
        <w:framePr w:dropCap="drop" w:lines="2" w:hSpace="57" w:wrap="around" w:vAnchor="text" w:hAnchor="text" w:xAlign="right"/>
        <w:spacing w:after="0" w:line="760" w:lineRule="exact"/>
        <w:jc w:val="both"/>
        <w:textAlignment w:val="baseline"/>
        <w:rPr>
          <w:rFonts w:ascii="Times New Roman" w:eastAsia="Times New Roman" w:hAnsi="Times New Roman" w:cs="Guttman Soncino"/>
          <w:b/>
          <w:bCs/>
          <w:color w:val="808080"/>
          <w:position w:val="-5"/>
          <w:sz w:val="85"/>
          <w:szCs w:val="85"/>
          <w:rtl/>
          <w:lang w:eastAsia="he-IL"/>
        </w:rPr>
      </w:pPr>
      <w:r w:rsidRPr="00FF4919">
        <w:rPr>
          <w:rFonts w:ascii="Times New Roman" w:eastAsia="Times New Roman" w:hAnsi="Times New Roman" w:cs="Guttman Soncino" w:hint="cs"/>
          <w:b/>
          <w:bCs/>
          <w:color w:val="808080"/>
          <w:position w:val="-5"/>
          <w:sz w:val="85"/>
          <w:szCs w:val="85"/>
          <w:rtl/>
          <w:lang w:eastAsia="he-IL"/>
        </w:rPr>
        <w:t>א</w:t>
      </w:r>
    </w:p>
    <w:p w:rsidR="00FF4919" w:rsidRPr="00FF4919" w:rsidRDefault="00FF4919" w:rsidP="00FF4919">
      <w:pPr>
        <w:spacing w:after="120" w:line="380" w:lineRule="exact"/>
        <w:jc w:val="both"/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</w:pP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חת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הגימטריאות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הפשוטות של </w:t>
      </w:r>
      <w:r w:rsidRPr="00FF4919">
        <w:rPr>
          <w:rFonts w:ascii="Times New Roman" w:eastAsia="Times New Roman" w:hAnsi="Times New Roman" w:cs="oprFrank" w:hint="cs"/>
          <w:b/>
          <w:bCs/>
          <w:sz w:val="28"/>
          <w:szCs w:val="28"/>
          <w:rtl/>
          <w:lang w:eastAsia="he-IL"/>
        </w:rPr>
        <w:t>נס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היא </w:t>
      </w:r>
      <w:r w:rsidRPr="00FF4919">
        <w:rPr>
          <w:rFonts w:ascii="Times New Roman" w:eastAsia="Times New Roman" w:hAnsi="Times New Roman" w:cs="oprFrank" w:hint="cs"/>
          <w:b/>
          <w:bCs/>
          <w:sz w:val="28"/>
          <w:szCs w:val="28"/>
          <w:rtl/>
          <w:lang w:eastAsia="he-IL"/>
        </w:rPr>
        <w:t>ימין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. גם נס קריעת ים סוף, אליו מושווים הנישואין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התרחש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בכח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הימין: "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כיון שהלך לקרוע את הים לא קבל עליו </w:t>
      </w:r>
      <w:proofErr w:type="spellStart"/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להקרע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אמר לו הים מפניך אני נקרע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?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אני גדול ממך שאני נבראתי בשלישי ואת נבראת בששי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!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כיון ששמע משה כך הלך ואמר להקב"ה אין הים רוצה </w:t>
      </w:r>
      <w:proofErr w:type="spellStart"/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להקרע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מה עשה הקב"ה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?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נתן ימינו על ימינו של משה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שנאמר 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'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מוליך לימין משה וגו'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'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2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מיד ראה להקב"ה וברח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שנאמר 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'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הים ראה </w:t>
      </w:r>
      <w:proofErr w:type="spellStart"/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וינס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'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3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מה ראה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?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אלא שראה להקב"ה שנתן יד ימינו על משה ולא יכול לעכב אלא ברח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4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.</w:t>
      </w:r>
    </w:p>
    <w:p w:rsidR="00FF4919" w:rsidRPr="00FF4919" w:rsidRDefault="00FF4919" w:rsidP="00FF4919">
      <w:pPr>
        <w:spacing w:after="120" w:line="380" w:lineRule="exact"/>
        <w:jc w:val="both"/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</w:pP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בכל נישואין יש בחינה של "ימין הוי' רוממה ימין הוי' ע</w:t>
      </w:r>
      <w:r w:rsidRPr="00FF4919">
        <w:rPr>
          <w:rFonts w:ascii="Times New Roman" w:eastAsia="Times New Roman" w:hAnsi="Times New Roman" w:cs="oprFrank" w:hint="eastAsia"/>
          <w:sz w:val="26"/>
          <w:szCs w:val="27"/>
          <w:rtl/>
          <w:lang w:eastAsia="he-IL"/>
        </w:rPr>
        <w:t>ֹ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שה חיל"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5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. בדרך כלל האיש שייך לקו הימין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6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והאשה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לקו השמאל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7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אך כאשר מופיעות שתי בחינות של ימין בפסוק אות הוא כי גם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האשה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נכללת בימין (ואזי יש שתי בחינות </w:t>
      </w:r>
      <w:r w:rsidRPr="00FF4919">
        <w:rPr>
          <w:rFonts w:ascii="Times New Roman" w:eastAsia="Times New Roman" w:hAnsi="Times New Roman" w:cs="oprFrank" w:hint="cs"/>
          <w:b/>
          <w:bCs/>
          <w:sz w:val="28"/>
          <w:szCs w:val="28"/>
          <w:rtl/>
          <w:lang w:eastAsia="he-IL"/>
        </w:rPr>
        <w:t>ימין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-</w:t>
      </w:r>
      <w:r w:rsidRPr="00FF4919">
        <w:rPr>
          <w:rFonts w:ascii="Times New Roman" w:eastAsia="Times New Roman" w:hAnsi="Times New Roman" w:cs="oprFrank" w:hint="cs"/>
          <w:b/>
          <w:bCs/>
          <w:sz w:val="28"/>
          <w:szCs w:val="28"/>
          <w:rtl/>
          <w:lang w:eastAsia="he-IL"/>
        </w:rPr>
        <w:t>נס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 בסוד נסי הנסים של חדש ניסן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8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). קו ימין הוא קו החסד והאהבה, ובפרט שייך לימין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כח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החיבוק 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–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"וימינו תחבקני"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9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. בעוד שיד שמאל תומכת רק את הראש ("שמאלו תחת ראשי"), העליון ממילא, הרי ש"ימין הוי' רוממה" מקיפה ו</w:t>
      </w:r>
      <w:r w:rsidRPr="00FF4919">
        <w:rPr>
          <w:rFonts w:ascii="Times New Roman" w:eastAsia="Times New Roman" w:hAnsi="Times New Roman" w:cs="MiriamMFO" w:hint="cs"/>
          <w:sz w:val="21"/>
          <w:szCs w:val="23"/>
          <w:rtl/>
          <w:lang w:eastAsia="he-IL"/>
        </w:rPr>
        <w:t>מרוממת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את הגוף כולו (כאשר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כח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הרמת הגוף הוא בסוד "יד </w:t>
      </w:r>
      <w:r w:rsidRPr="00FF4919">
        <w:rPr>
          <w:rFonts w:ascii="Times New Roman" w:eastAsia="Times New Roman" w:hAnsi="Times New Roman" w:cs="MiriamMFO" w:hint="cs"/>
          <w:sz w:val="21"/>
          <w:szCs w:val="23"/>
          <w:rtl/>
          <w:lang w:eastAsia="he-IL"/>
        </w:rPr>
        <w:t>רמה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0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–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יד 'שלישית' המתפשטת כהמשך לגוף דווקא 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–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עליה לסוד "ריש גלי"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1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"רישא דלא ידע ולא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אתידע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2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אליו מעלה נס הנישואין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3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בו "לית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שמאלא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בהאי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עתיקא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כולא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ימינא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4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ובנפש היינו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כח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</w:t>
      </w:r>
      <w:r w:rsidRPr="00FF4919">
        <w:rPr>
          <w:rFonts w:ascii="Times New Roman" w:eastAsia="Times New Roman" w:hAnsi="Times New Roman" w:cs="MiriamMFO" w:hint="cs"/>
          <w:sz w:val="21"/>
          <w:szCs w:val="23"/>
          <w:rtl/>
          <w:lang w:eastAsia="he-IL"/>
        </w:rPr>
        <w:t>אמונה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לשון </w:t>
      </w:r>
      <w:r w:rsidRPr="00FF4919">
        <w:rPr>
          <w:rFonts w:ascii="Times New Roman" w:eastAsia="Times New Roman" w:hAnsi="Times New Roman" w:cs="MiriamMFO" w:hint="cs"/>
          <w:sz w:val="21"/>
          <w:szCs w:val="23"/>
          <w:rtl/>
          <w:lang w:eastAsia="he-IL"/>
        </w:rPr>
        <w:t>ימין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5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). כאשר ימינו של האיש מרוממת בחיבוק את אשתו הרי ימין זו גופא היא "ימין הוי' עושה חיל" 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–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עושה-מתקנת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6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את ה"אשת חיל"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7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שגם תהיה בבחינת </w:t>
      </w:r>
      <w:r w:rsidRPr="00FF4919">
        <w:rPr>
          <w:rFonts w:ascii="Times New Roman" w:eastAsia="Times New Roman" w:hAnsi="Times New Roman" w:cs="oprFrank" w:hint="cs"/>
          <w:b/>
          <w:bCs/>
          <w:sz w:val="28"/>
          <w:szCs w:val="28"/>
          <w:rtl/>
          <w:lang w:eastAsia="he-IL"/>
        </w:rPr>
        <w:t>ימין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</w:t>
      </w:r>
      <w:r w:rsidRPr="00FF4919">
        <w:rPr>
          <w:rFonts w:ascii="Times New Roman" w:eastAsia="Times New Roman" w:hAnsi="Times New Roman" w:cs="oprFrank" w:hint="cs"/>
          <w:b/>
          <w:bCs/>
          <w:sz w:val="28"/>
          <w:szCs w:val="28"/>
          <w:rtl/>
          <w:lang w:eastAsia="he-IL"/>
        </w:rPr>
        <w:t>נס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של חסד ואהבה.</w:t>
      </w:r>
    </w:p>
    <w:p w:rsidR="00FF4919" w:rsidRPr="00FF4919" w:rsidRDefault="00FF4919" w:rsidP="00FF4919">
      <w:pPr>
        <w:spacing w:after="120" w:line="380" w:lineRule="exact"/>
        <w:jc w:val="both"/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</w:pP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והנה, כאשר הופכת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האשה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, השייכת לשמאל בטבעה, לבחינת "ימין" היא ממתיקה ומתקנת את בן זוגה. כך, המקור 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lastRenderedPageBreak/>
        <w:t xml:space="preserve">הראשון ל'שתי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ידים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ימניות' הוא בשירת הים שעל קריעת ים סוף אליה מושווים הנישואין: "ימינך הוי'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נאדרי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בכח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ימינך הוי'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תרעץ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אויב"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8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. על פסוק זה כתב רש"י: "'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ימינך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...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ימינך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'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– שני פעמים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</w:t>
      </w:r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כשישראל </w:t>
      </w:r>
      <w:proofErr w:type="spellStart"/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>עושין</w:t>
      </w:r>
      <w:proofErr w:type="spellEnd"/>
      <w:r w:rsidRPr="00FF4919">
        <w:rPr>
          <w:rFonts w:ascii="Times New Roman" w:eastAsia="Times New Roman" w:hAnsi="Times New Roman" w:cs="oprFrank"/>
          <w:sz w:val="26"/>
          <w:szCs w:val="27"/>
          <w:rtl/>
          <w:lang w:eastAsia="he-IL"/>
        </w:rPr>
        <w:t xml:space="preserve"> את רצונו של מקום השמאל נעשית ימין</w:t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". כלומר, הפיכת השמאל של "הוי' איש מלחמה"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19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 ה"איש שלמעלה"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20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, לימין תלויה בפעולתם של ישראל, רעייתו של ה'. כך גם הפיכת שמאלו של כל איש, "איש שלמטה", תלויה בכך שרעייתו תהיה "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אשה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כשרה העושה רצון בעלה"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21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גם במובן עשית-תיקון רצונו שלו, כנודע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22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(ואזי יש לקרוא "ימין הוי' עושה חיל" מסיפא לרישא, את "ימין הוי'" עושה-מתקנת ה"אשת חיל"). כלומר, כאשר </w:t>
      </w:r>
      <w:proofErr w:type="spellStart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>האשה</w:t>
      </w:r>
      <w:proofErr w:type="spellEnd"/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"עולה עמו ואינה יורדת"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23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היא הופכת ל"אשת חיל עטרת בעלה"</w:t>
      </w:r>
      <w:r w:rsidRPr="00FF4919">
        <w:rPr>
          <w:rFonts w:ascii="Times New Roman" w:eastAsia="Times New Roman" w:hAnsi="Times New Roman" w:cs="oprFrank"/>
          <w:noProof/>
          <w:position w:val="-4"/>
          <w:sz w:val="26"/>
          <w:szCs w:val="26"/>
          <w:vertAlign w:val="superscript"/>
          <w:rtl/>
          <w:lang w:eastAsia="he-IL"/>
        </w:rPr>
        <w:endnoteReference w:id="24"/>
      </w:r>
      <w:r w:rsidRPr="00FF4919">
        <w:rPr>
          <w:rFonts w:ascii="Times New Roman" w:eastAsia="Times New Roman" w:hAnsi="Times New Roman" w:cs="oprFrank" w:hint="cs"/>
          <w:sz w:val="26"/>
          <w:szCs w:val="27"/>
          <w:rtl/>
          <w:lang w:eastAsia="he-IL"/>
        </w:rPr>
        <w:t xml:space="preserve"> המתקנת אותו ומעלה אותו למקומה שלה.</w:t>
      </w:r>
    </w:p>
    <w:p w:rsidR="00FF4919" w:rsidRPr="00FF4919" w:rsidRDefault="00FF4919" w:rsidP="00FF4919">
      <w:pPr>
        <w:spacing w:after="120" w:line="380" w:lineRule="exact"/>
        <w:jc w:val="both"/>
        <w:rPr>
          <w:rFonts w:ascii="Times New Roman" w:eastAsia="Times New Roman" w:hAnsi="Times New Roman" w:cs="oprFrank"/>
          <w:sz w:val="26"/>
          <w:szCs w:val="27"/>
          <w:lang w:eastAsia="he-IL"/>
        </w:rPr>
      </w:pPr>
    </w:p>
    <w:p w:rsidR="005F4A47" w:rsidRPr="00FF4919" w:rsidRDefault="00DB5321">
      <w:bookmarkStart w:id="0" w:name="_GoBack"/>
      <w:bookmarkEnd w:id="0"/>
    </w:p>
    <w:sectPr w:rsidR="005F4A47" w:rsidRPr="00FF4919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321" w:rsidRDefault="00DB5321" w:rsidP="00FF4919">
      <w:pPr>
        <w:spacing w:after="0" w:line="240" w:lineRule="auto"/>
      </w:pPr>
      <w:r>
        <w:separator/>
      </w:r>
    </w:p>
  </w:endnote>
  <w:endnote w:type="continuationSeparator" w:id="0">
    <w:p w:rsidR="00DB5321" w:rsidRDefault="00DB5321" w:rsidP="00FF4919">
      <w:pPr>
        <w:spacing w:after="0" w:line="240" w:lineRule="auto"/>
      </w:pPr>
      <w:r>
        <w:continuationSeparator/>
      </w:r>
    </w:p>
  </w:endnote>
  <w:endnote w:id="1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סוטה ב, א. ראה גם לעיל בתורה "נס הנישואין".</w:t>
      </w:r>
    </w:p>
  </w:endnote>
  <w:endnote w:id="2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3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קיד, ג.</w:t>
      </w:r>
    </w:p>
  </w:endnote>
  <w:endnote w:id="4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ו.</w:t>
      </w:r>
    </w:p>
  </w:endnote>
  <w:endnote w:id="5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קיח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6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בסוד "זכר חסדו" (תהלים צח, ג).</w:t>
      </w:r>
    </w:p>
  </w:endnote>
  <w:endnote w:id="7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"בנין המלכות מהגבורות" (ע"ח שכ"ה דרוש ב ובכ"ד).</w:t>
      </w:r>
    </w:p>
  </w:endnote>
  <w:endnote w:id="8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עפ"י ברכות </w:t>
      </w:r>
      <w:proofErr w:type="spellStart"/>
      <w:r>
        <w:rPr>
          <w:rFonts w:hint="cs"/>
          <w:rtl/>
        </w:rPr>
        <w:t>נז</w:t>
      </w:r>
      <w:proofErr w:type="spellEnd"/>
      <w:r>
        <w:rPr>
          <w:rFonts w:hint="cs"/>
          <w:rtl/>
        </w:rPr>
        <w:t xml:space="preserve">, א (כמבואר בריבוי מקומות בדברי הרבי </w:t>
      </w:r>
      <w:proofErr w:type="spellStart"/>
      <w:r>
        <w:rPr>
          <w:rFonts w:hint="cs"/>
          <w:rtl/>
        </w:rPr>
        <w:t>מליובאוויטש</w:t>
      </w:r>
      <w:proofErr w:type="spellEnd"/>
      <w:r>
        <w:rPr>
          <w:rFonts w:hint="cs"/>
          <w:rtl/>
        </w:rPr>
        <w:t xml:space="preserve">, ראה למשל אגרות קדש כרך יא </w:t>
      </w:r>
      <w:proofErr w:type="spellStart"/>
      <w:r>
        <w:rPr>
          <w:rFonts w:hint="cs"/>
          <w:rtl/>
        </w:rPr>
        <w:t>ג'תעח</w:t>
      </w:r>
      <w:proofErr w:type="spellEnd"/>
      <w:r>
        <w:rPr>
          <w:rFonts w:hint="cs"/>
          <w:rtl/>
        </w:rPr>
        <w:t>), וכנ"ל בתורה "נס הנישואין".</w:t>
      </w:r>
    </w:p>
  </w:endnote>
  <w:endnote w:id="9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ב, ו; ח, ג.</w:t>
      </w:r>
    </w:p>
  </w:endnote>
  <w:endnote w:id="10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יד, ח.</w:t>
      </w:r>
    </w:p>
  </w:endnote>
  <w:endnote w:id="11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תרגום הפסוק.</w:t>
      </w:r>
    </w:p>
  </w:endnote>
  <w:endnote w:id="12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גם 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רפח</w:t>
      </w:r>
      <w:proofErr w:type="spellEnd"/>
      <w:r>
        <w:rPr>
          <w:rFonts w:hint="cs"/>
          <w:rtl/>
        </w:rPr>
        <w:t xml:space="preserve">, ב; עץ חיים שער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 פ"ב (</w:t>
      </w:r>
      <w:proofErr w:type="spellStart"/>
      <w:r>
        <w:rPr>
          <w:rFonts w:hint="cs"/>
          <w:rtl/>
        </w:rPr>
        <w:t>מ"ת</w:t>
      </w:r>
      <w:proofErr w:type="spellEnd"/>
      <w:r>
        <w:rPr>
          <w:rFonts w:hint="cs"/>
          <w:rtl/>
        </w:rPr>
        <w:t>).</w:t>
      </w:r>
    </w:p>
  </w:endnote>
  <w:endnote w:id="13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כנ"ל בתורות הקודמות.</w:t>
      </w:r>
    </w:p>
  </w:endnote>
  <w:endnote w:id="14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קכט</w:t>
      </w:r>
      <w:proofErr w:type="spellEnd"/>
      <w:r>
        <w:rPr>
          <w:rFonts w:hint="cs"/>
          <w:rtl/>
        </w:rPr>
        <w:t xml:space="preserve">, א; רפט, א; עץ חיים שער ט פ"ז; שער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 פ"ב.</w:t>
      </w:r>
    </w:p>
  </w:endnote>
  <w:endnote w:id="15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r w:rsidRPr="00DC55ED">
        <w:rPr>
          <w:rtl/>
        </w:rPr>
        <w:t xml:space="preserve">ישעיה ל, </w:t>
      </w:r>
      <w:proofErr w:type="spellStart"/>
      <w:r w:rsidRPr="00DC55ED">
        <w:rPr>
          <w:rtl/>
        </w:rPr>
        <w:t>כא</w:t>
      </w:r>
      <w:proofErr w:type="spellEnd"/>
      <w:r>
        <w:rPr>
          <w:rFonts w:hint="cs"/>
          <w:rtl/>
        </w:rPr>
        <w:t xml:space="preserve">. </w:t>
      </w:r>
    </w:p>
  </w:endnote>
  <w:endnote w:id="16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בראשית רבה </w:t>
      </w:r>
      <w:proofErr w:type="spellStart"/>
      <w:r>
        <w:rPr>
          <w:rFonts w:hint="cs"/>
          <w:rtl/>
        </w:rPr>
        <w:t>מב</w:t>
      </w:r>
      <w:proofErr w:type="spellEnd"/>
      <w:r>
        <w:rPr>
          <w:rFonts w:hint="cs"/>
          <w:rtl/>
        </w:rPr>
        <w:t>, ג (שעשיה פירושה תיקון).</w:t>
      </w:r>
    </w:p>
  </w:endnote>
  <w:endnote w:id="17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ד.</w:t>
      </w:r>
    </w:p>
  </w:endnote>
  <w:endnote w:id="18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טו, ו.</w:t>
      </w:r>
    </w:p>
  </w:endnote>
  <w:endnote w:id="19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ג.</w:t>
      </w:r>
    </w:p>
  </w:endnote>
  <w:endnote w:id="20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רש"י במדבר ה,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 ד"ה "איש איש".</w:t>
      </w:r>
    </w:p>
  </w:endnote>
  <w:endnote w:id="21">
    <w:p w:rsidR="00FF4919" w:rsidRDefault="00FF4919" w:rsidP="00FF4919">
      <w:pPr>
        <w:pStyle w:val="a3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תנא דבי אליהו פ"ט.</w:t>
      </w:r>
    </w:p>
  </w:endnote>
  <w:endnote w:id="22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שכינה ביניהם סוף פ"א וברית הנישואין עמ' לא-לב.</w:t>
      </w:r>
    </w:p>
  </w:endnote>
  <w:endnote w:id="23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כתובות מח, א.</w:t>
      </w:r>
    </w:p>
  </w:endnote>
  <w:endnote w:id="24">
    <w:p w:rsidR="00FF4919" w:rsidRDefault="00FF4919" w:rsidP="00FF4919">
      <w:pPr>
        <w:pStyle w:val="a3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ד.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321" w:rsidRDefault="00DB5321" w:rsidP="00FF4919">
      <w:pPr>
        <w:spacing w:after="0" w:line="240" w:lineRule="auto"/>
      </w:pPr>
      <w:r>
        <w:separator/>
      </w:r>
    </w:p>
  </w:footnote>
  <w:footnote w:type="continuationSeparator" w:id="0">
    <w:p w:rsidR="00DB5321" w:rsidRDefault="00DB5321" w:rsidP="00FF4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10"/>
    <w:rsid w:val="00061E65"/>
    <w:rsid w:val="001C0B10"/>
    <w:rsid w:val="00AC2310"/>
    <w:rsid w:val="00DB5321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F4919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FF491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F4919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FF49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2017-08-16T10:53:00Z</dcterms:created>
  <dcterms:modified xsi:type="dcterms:W3CDTF">2017-08-16T10:53:00Z</dcterms:modified>
</cp:coreProperties>
</file>