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1F" w:rsidRPr="00C65C1F" w:rsidRDefault="00C65C1F" w:rsidP="00C65C1F">
      <w:pPr>
        <w:spacing w:before="1080" w:after="720" w:line="240" w:lineRule="auto"/>
        <w:ind w:left="-45"/>
        <w:jc w:val="right"/>
        <w:outlineLvl w:val="1"/>
        <w:rPr>
          <w:rFonts w:ascii="DF Calligraphic Ornaments LET" w:hAnsi="DF Calligraphic Ornaments LET" w:cs="Guttman Soncino" w:hint="cs"/>
          <w:noProof/>
          <w:spacing w:val="20"/>
          <w:w w:val="90"/>
          <w:kern w:val="28"/>
          <w:sz w:val="44"/>
          <w:szCs w:val="46"/>
          <w:rtl/>
          <w:lang w:eastAsia="en-US"/>
        </w:rPr>
      </w:pPr>
      <w:r w:rsidRPr="00C65C1F">
        <w:rPr>
          <w:rFonts w:ascii="DF Calligraphic Ornaments LET" w:hAnsi="DF Calligraphic Ornaments LET" w:cs="Guttman Soncino" w:hint="cs"/>
          <w:noProof/>
          <w:spacing w:val="20"/>
          <w:w w:val="90"/>
          <w:kern w:val="28"/>
          <w:sz w:val="44"/>
          <w:szCs w:val="46"/>
          <w:rtl/>
          <w:lang w:eastAsia="en-US"/>
        </w:rPr>
        <w:t>סומך נופלים</w:t>
      </w:r>
    </w:p>
    <w:p w:rsidR="00C65C1F" w:rsidRPr="00C65C1F" w:rsidRDefault="00C65C1F" w:rsidP="00C65C1F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Fonts w:cs="Guttman Soncino"/>
          <w:b/>
          <w:bCs/>
          <w:color w:val="808080"/>
          <w:position w:val="-5"/>
          <w:sz w:val="85"/>
          <w:szCs w:val="85"/>
          <w:rtl/>
        </w:rPr>
      </w:pPr>
      <w:r w:rsidRPr="00C65C1F">
        <w:rPr>
          <w:rFonts w:cs="Guttman Soncino" w:hint="cs"/>
          <w:b/>
          <w:bCs/>
          <w:color w:val="808080"/>
          <w:position w:val="-5"/>
          <w:sz w:val="85"/>
          <w:szCs w:val="85"/>
          <w:rtl/>
        </w:rPr>
        <w:t>ב</w:t>
      </w:r>
    </w:p>
    <w:p w:rsidR="00C65C1F" w:rsidRPr="00C65C1F" w:rsidRDefault="00C65C1F" w:rsidP="00C65C1F">
      <w:pPr>
        <w:rPr>
          <w:rFonts w:hint="cs"/>
          <w:rtl/>
        </w:rPr>
      </w:pPr>
      <w:r w:rsidRPr="00C65C1F">
        <w:rPr>
          <w:rFonts w:hint="cs"/>
          <w:rtl/>
        </w:rPr>
        <w:t xml:space="preserve">פסוק המקדים את בריאת </w:t>
      </w:r>
      <w:proofErr w:type="spellStart"/>
      <w:r w:rsidRPr="00C65C1F">
        <w:rPr>
          <w:rFonts w:hint="cs"/>
          <w:rtl/>
        </w:rPr>
        <w:t>האשה</w:t>
      </w:r>
      <w:proofErr w:type="spellEnd"/>
      <w:r w:rsidRPr="00C65C1F">
        <w:rPr>
          <w:rFonts w:hint="cs"/>
          <w:rtl/>
        </w:rPr>
        <w:t xml:space="preserve"> לאיש מכונה </w:t>
      </w:r>
      <w:proofErr w:type="spellStart"/>
      <w:r w:rsidRPr="00C65C1F">
        <w:rPr>
          <w:rFonts w:hint="cs"/>
          <w:rtl/>
        </w:rPr>
        <w:t>האשה</w:t>
      </w:r>
      <w:proofErr w:type="spellEnd"/>
      <w:r w:rsidRPr="00C65C1F">
        <w:rPr>
          <w:rFonts w:hint="cs"/>
          <w:rtl/>
        </w:rPr>
        <w:t xml:space="preserve"> "עזר כנגדו"</w:t>
      </w:r>
      <w:r w:rsidRPr="00C65C1F">
        <w:rPr>
          <w:noProof/>
          <w:position w:val="-4"/>
          <w:vertAlign w:val="superscript"/>
          <w:rtl/>
        </w:rPr>
        <w:endnoteReference w:id="1"/>
      </w:r>
      <w:r w:rsidRPr="00C65C1F">
        <w:rPr>
          <w:rFonts w:hint="cs"/>
          <w:rtl/>
        </w:rPr>
        <w:t xml:space="preserve">. התרגום של "עזר כנגדו" הוא "סמך לקבליה", היינו ש"עזר" רומז לאות "סמך". לכן יש לומר כי </w:t>
      </w:r>
      <w:r w:rsidRPr="00C65C1F">
        <w:rPr>
          <w:rFonts w:hint="cs"/>
          <w:b/>
          <w:bCs/>
          <w:sz w:val="28"/>
          <w:szCs w:val="28"/>
          <w:rtl/>
        </w:rPr>
        <w:t>נס</w:t>
      </w:r>
      <w:r w:rsidRPr="00C65C1F">
        <w:rPr>
          <w:rFonts w:hint="cs"/>
          <w:rtl/>
        </w:rPr>
        <w:t xml:space="preserve"> הנישואין הוא בסוד הפסוק "</w:t>
      </w:r>
      <w:r w:rsidRPr="00C65C1F">
        <w:rPr>
          <w:rFonts w:hint="cs"/>
          <w:b/>
          <w:bCs/>
          <w:sz w:val="28"/>
          <w:szCs w:val="28"/>
          <w:rtl/>
        </w:rPr>
        <w:t>ס</w:t>
      </w:r>
      <w:r w:rsidRPr="00C65C1F">
        <w:rPr>
          <w:rFonts w:hint="cs"/>
          <w:rtl/>
        </w:rPr>
        <w:t>ו</w:t>
      </w:r>
      <w:r w:rsidRPr="00C65C1F">
        <w:rPr>
          <w:rFonts w:hint="cs"/>
          <w:b/>
          <w:bCs/>
          <w:sz w:val="28"/>
          <w:szCs w:val="28"/>
          <w:rtl/>
        </w:rPr>
        <w:t>מך</w:t>
      </w:r>
      <w:r w:rsidRPr="00C65C1F">
        <w:rPr>
          <w:rFonts w:hint="cs"/>
          <w:rtl/>
        </w:rPr>
        <w:t xml:space="preserve"> הוי' לכל ה</w:t>
      </w:r>
      <w:r w:rsidRPr="00C65C1F">
        <w:rPr>
          <w:rFonts w:hint="cs"/>
          <w:b/>
          <w:bCs/>
          <w:sz w:val="28"/>
          <w:szCs w:val="28"/>
          <w:rtl/>
        </w:rPr>
        <w:t>נ</w:t>
      </w:r>
      <w:r w:rsidRPr="00C65C1F">
        <w:rPr>
          <w:rFonts w:hint="cs"/>
          <w:b/>
          <w:bCs/>
          <w:rtl/>
        </w:rPr>
        <w:t>ֹ</w:t>
      </w:r>
      <w:r w:rsidRPr="00C65C1F">
        <w:rPr>
          <w:rFonts w:hint="cs"/>
          <w:rtl/>
        </w:rPr>
        <w:t>פלים"</w:t>
      </w:r>
      <w:r w:rsidRPr="00C65C1F">
        <w:rPr>
          <w:noProof/>
          <w:position w:val="-4"/>
          <w:vertAlign w:val="superscript"/>
          <w:rtl/>
        </w:rPr>
        <w:endnoteReference w:id="2"/>
      </w:r>
      <w:r w:rsidRPr="00C65C1F">
        <w:rPr>
          <w:rFonts w:hint="cs"/>
          <w:rtl/>
        </w:rPr>
        <w:t xml:space="preserve"> (כמפורש בגמרא ביחס לפסוק זה שה</w:t>
      </w:r>
      <w:r w:rsidRPr="00C65C1F">
        <w:rPr>
          <w:rFonts w:hint="cs"/>
          <w:b/>
          <w:bCs/>
          <w:sz w:val="28"/>
          <w:szCs w:val="28"/>
          <w:rtl/>
        </w:rPr>
        <w:t>נ</w:t>
      </w:r>
      <w:r w:rsidRPr="00C65C1F">
        <w:rPr>
          <w:rFonts w:hint="cs"/>
          <w:rtl/>
        </w:rPr>
        <w:t>ון היא לשון נפילה: "</w:t>
      </w:r>
      <w:r w:rsidRPr="00C65C1F">
        <w:rPr>
          <w:rtl/>
        </w:rPr>
        <w:t>מפני מה לא נאמר נו"ן באשרי</w:t>
      </w:r>
      <w:r w:rsidRPr="00C65C1F">
        <w:rPr>
          <w:rFonts w:hint="cs"/>
          <w:rtl/>
        </w:rPr>
        <w:t>?</w:t>
      </w:r>
      <w:r w:rsidRPr="00C65C1F">
        <w:rPr>
          <w:rtl/>
        </w:rPr>
        <w:t xml:space="preserve"> מפני שיש בה מפלתן של שונאי ישראל</w:t>
      </w:r>
      <w:r w:rsidRPr="00C65C1F">
        <w:rPr>
          <w:rFonts w:hint="cs"/>
          <w:rtl/>
        </w:rPr>
        <w:t>,</w:t>
      </w:r>
      <w:r w:rsidRPr="00C65C1F">
        <w:rPr>
          <w:rtl/>
        </w:rPr>
        <w:t xml:space="preserve"> </w:t>
      </w:r>
      <w:proofErr w:type="spellStart"/>
      <w:r w:rsidRPr="00C65C1F">
        <w:rPr>
          <w:rtl/>
        </w:rPr>
        <w:t>דכתיב</w:t>
      </w:r>
      <w:proofErr w:type="spellEnd"/>
      <w:r w:rsidRPr="00C65C1F">
        <w:rPr>
          <w:rtl/>
        </w:rPr>
        <w:t xml:space="preserve"> </w:t>
      </w:r>
      <w:r w:rsidRPr="00C65C1F">
        <w:rPr>
          <w:rFonts w:hint="cs"/>
          <w:rtl/>
        </w:rPr>
        <w:t>'</w:t>
      </w:r>
      <w:r w:rsidRPr="00C65C1F">
        <w:rPr>
          <w:rtl/>
        </w:rPr>
        <w:t>נפלה לא תוסיף קום בתולת ישראל</w:t>
      </w:r>
      <w:r w:rsidRPr="00C65C1F">
        <w:rPr>
          <w:rFonts w:hint="cs"/>
          <w:rtl/>
        </w:rPr>
        <w:t>'</w:t>
      </w:r>
      <w:r w:rsidRPr="00C65C1F">
        <w:rPr>
          <w:noProof/>
          <w:position w:val="-4"/>
          <w:vertAlign w:val="superscript"/>
          <w:rtl/>
        </w:rPr>
        <w:endnoteReference w:id="3"/>
      </w:r>
      <w:r w:rsidRPr="00C65C1F">
        <w:rPr>
          <w:rFonts w:hint="cs"/>
          <w:rtl/>
        </w:rPr>
        <w:t>...</w:t>
      </w:r>
      <w:r w:rsidRPr="00C65C1F">
        <w:rPr>
          <w:rtl/>
        </w:rPr>
        <w:t xml:space="preserve"> אפילו הכי חזר דוד וסמכן ברוח הקדש שנאמר </w:t>
      </w:r>
      <w:r w:rsidRPr="00C65C1F">
        <w:rPr>
          <w:rFonts w:hint="cs"/>
          <w:rtl/>
        </w:rPr>
        <w:t>'</w:t>
      </w:r>
      <w:r w:rsidRPr="00C65C1F">
        <w:rPr>
          <w:rtl/>
        </w:rPr>
        <w:t>סומך ה' לכל הנופלים</w:t>
      </w:r>
      <w:r w:rsidRPr="00C65C1F">
        <w:rPr>
          <w:rFonts w:hint="cs"/>
          <w:rtl/>
        </w:rPr>
        <w:t>'"</w:t>
      </w:r>
      <w:r w:rsidRPr="00C65C1F">
        <w:rPr>
          <w:noProof/>
          <w:position w:val="-4"/>
          <w:vertAlign w:val="superscript"/>
          <w:rtl/>
        </w:rPr>
        <w:endnoteReference w:id="4"/>
      </w:r>
      <w:r w:rsidRPr="00C65C1F">
        <w:rPr>
          <w:rFonts w:hint="cs"/>
          <w:rtl/>
        </w:rPr>
        <w:t>).</w:t>
      </w:r>
    </w:p>
    <w:p w:rsidR="00C65C1F" w:rsidRPr="00C65C1F" w:rsidRDefault="00C65C1F" w:rsidP="00C65C1F">
      <w:pPr>
        <w:rPr>
          <w:rFonts w:hint="cs"/>
          <w:rtl/>
        </w:rPr>
      </w:pPr>
      <w:r w:rsidRPr="00C65C1F">
        <w:rPr>
          <w:rFonts w:hint="cs"/>
          <w:rtl/>
        </w:rPr>
        <w:t>לחתן נאמר "</w:t>
      </w:r>
      <w:proofErr w:type="spellStart"/>
      <w:r w:rsidRPr="00C65C1F">
        <w:rPr>
          <w:rFonts w:hint="cs"/>
          <w:rtl/>
        </w:rPr>
        <w:t>חות</w:t>
      </w:r>
      <w:proofErr w:type="spellEnd"/>
      <w:r w:rsidRPr="00C65C1F">
        <w:rPr>
          <w:rFonts w:hint="cs"/>
          <w:rtl/>
        </w:rPr>
        <w:t xml:space="preserve"> </w:t>
      </w:r>
      <w:proofErr w:type="spellStart"/>
      <w:r w:rsidRPr="00C65C1F">
        <w:rPr>
          <w:rFonts w:hint="cs"/>
          <w:rtl/>
        </w:rPr>
        <w:t>דרגא</w:t>
      </w:r>
      <w:proofErr w:type="spellEnd"/>
      <w:r w:rsidRPr="00C65C1F">
        <w:rPr>
          <w:rFonts w:hint="cs"/>
          <w:rtl/>
        </w:rPr>
        <w:t xml:space="preserve"> וסיב </w:t>
      </w:r>
      <w:proofErr w:type="spellStart"/>
      <w:r w:rsidRPr="00C65C1F">
        <w:rPr>
          <w:rFonts w:hint="cs"/>
          <w:rtl/>
        </w:rPr>
        <w:t>איתתא</w:t>
      </w:r>
      <w:proofErr w:type="spellEnd"/>
      <w:r w:rsidRPr="00C65C1F">
        <w:rPr>
          <w:rFonts w:hint="cs"/>
          <w:rtl/>
        </w:rPr>
        <w:t>"</w:t>
      </w:r>
      <w:r w:rsidRPr="00C65C1F">
        <w:rPr>
          <w:noProof/>
          <w:position w:val="-4"/>
          <w:vertAlign w:val="superscript"/>
          <w:rtl/>
        </w:rPr>
        <w:endnoteReference w:id="5"/>
      </w:r>
      <w:r w:rsidRPr="00C65C1F">
        <w:rPr>
          <w:rFonts w:hint="cs"/>
          <w:rtl/>
        </w:rPr>
        <w:t xml:space="preserve"> וכאשר הוא יורד מדרגתו בהתלהבות הוא נופל, ותפקידה של אשתו הוא להיות עזר-סמך המציל אותו מנפילה מרסקת עצמות (ואף מקימו לתחיה, שהרי "מאן </w:t>
      </w:r>
      <w:proofErr w:type="spellStart"/>
      <w:r w:rsidRPr="00C65C1F">
        <w:rPr>
          <w:rFonts w:hint="cs"/>
          <w:rtl/>
        </w:rPr>
        <w:t>דנפיל</w:t>
      </w:r>
      <w:proofErr w:type="spellEnd"/>
      <w:r w:rsidRPr="00C65C1F">
        <w:rPr>
          <w:rFonts w:hint="cs"/>
          <w:rtl/>
        </w:rPr>
        <w:t xml:space="preserve"> מדרגיה </w:t>
      </w:r>
      <w:proofErr w:type="spellStart"/>
      <w:r w:rsidRPr="00C65C1F">
        <w:rPr>
          <w:rFonts w:hint="cs"/>
          <w:rtl/>
        </w:rPr>
        <w:t>איקרי</w:t>
      </w:r>
      <w:proofErr w:type="spellEnd"/>
      <w:r w:rsidRPr="00C65C1F">
        <w:rPr>
          <w:rFonts w:hint="cs"/>
          <w:rtl/>
        </w:rPr>
        <w:t xml:space="preserve"> </w:t>
      </w:r>
      <w:proofErr w:type="spellStart"/>
      <w:r w:rsidRPr="00C65C1F">
        <w:rPr>
          <w:rFonts w:hint="cs"/>
          <w:rtl/>
        </w:rPr>
        <w:t>מית</w:t>
      </w:r>
      <w:proofErr w:type="spellEnd"/>
      <w:r w:rsidRPr="00C65C1F">
        <w:rPr>
          <w:rFonts w:hint="cs"/>
          <w:rtl/>
        </w:rPr>
        <w:t>"</w:t>
      </w:r>
      <w:r w:rsidRPr="00C65C1F">
        <w:rPr>
          <w:noProof/>
          <w:position w:val="-4"/>
          <w:vertAlign w:val="superscript"/>
          <w:rtl/>
        </w:rPr>
        <w:endnoteReference w:id="6"/>
      </w:r>
      <w:r w:rsidRPr="00C65C1F">
        <w:rPr>
          <w:rFonts w:hint="cs"/>
          <w:rtl/>
        </w:rPr>
        <w:t>). החתן הוא צדיק הבא לפקוד-לגאול את אשתו, בבחינת המשיח ש"י</w:t>
      </w:r>
      <w:r w:rsidRPr="00C65C1F">
        <w:rPr>
          <w:rFonts w:hint="cs"/>
          <w:b/>
          <w:bCs/>
          <w:sz w:val="28"/>
          <w:szCs w:val="28"/>
          <w:rtl/>
        </w:rPr>
        <w:t>נון</w:t>
      </w:r>
      <w:r w:rsidRPr="00C65C1F">
        <w:rPr>
          <w:rFonts w:hint="cs"/>
          <w:rtl/>
        </w:rPr>
        <w:t xml:space="preserve"> שמו"</w:t>
      </w:r>
      <w:r w:rsidRPr="00C65C1F">
        <w:rPr>
          <w:noProof/>
          <w:position w:val="-4"/>
          <w:vertAlign w:val="superscript"/>
          <w:rtl/>
        </w:rPr>
        <w:endnoteReference w:id="7"/>
      </w:r>
      <w:r w:rsidRPr="00C65C1F">
        <w:rPr>
          <w:rFonts w:hint="cs"/>
          <w:rtl/>
        </w:rPr>
        <w:t>, אך הוא הופך ל</w:t>
      </w:r>
      <w:r w:rsidRPr="00C65C1F">
        <w:rPr>
          <w:rFonts w:hint="cs"/>
          <w:b/>
          <w:bCs/>
          <w:sz w:val="28"/>
          <w:szCs w:val="28"/>
          <w:rtl/>
        </w:rPr>
        <w:t>נון</w:t>
      </w:r>
      <w:r w:rsidRPr="00C65C1F">
        <w:rPr>
          <w:rFonts w:hint="cs"/>
          <w:rtl/>
        </w:rPr>
        <w:t xml:space="preserve">-נופל (עד לנפילה בכל שבע מדות הלב אותן הוא מפנה לאשתו, בבחינת "שבע </w:t>
      </w:r>
      <w:proofErr w:type="spellStart"/>
      <w:r w:rsidRPr="00C65C1F">
        <w:rPr>
          <w:rFonts w:hint="cs"/>
          <w:rtl/>
        </w:rPr>
        <w:t>יפול</w:t>
      </w:r>
      <w:proofErr w:type="spellEnd"/>
      <w:r w:rsidRPr="00C65C1F">
        <w:rPr>
          <w:rFonts w:hint="cs"/>
          <w:rtl/>
        </w:rPr>
        <w:t xml:space="preserve"> צדיק"</w:t>
      </w:r>
      <w:r w:rsidRPr="00C65C1F">
        <w:rPr>
          <w:noProof/>
          <w:position w:val="-4"/>
          <w:vertAlign w:val="superscript"/>
          <w:rtl/>
        </w:rPr>
        <w:endnoteReference w:id="8"/>
      </w:r>
      <w:r w:rsidRPr="00C65C1F">
        <w:rPr>
          <w:rFonts w:hint="cs"/>
          <w:rtl/>
        </w:rPr>
        <w:t>) הנזקק לסמיכה מצד המציאות התחתונה-הנגאלת.</w:t>
      </w:r>
    </w:p>
    <w:p w:rsidR="00C65C1F" w:rsidRPr="00C65C1F" w:rsidRDefault="00C65C1F" w:rsidP="00C65C1F">
      <w:pPr>
        <w:rPr>
          <w:rFonts w:hint="cs"/>
          <w:rtl/>
        </w:rPr>
      </w:pPr>
      <w:proofErr w:type="spellStart"/>
      <w:r w:rsidRPr="00C65C1F">
        <w:rPr>
          <w:rFonts w:hint="cs"/>
          <w:rtl/>
        </w:rPr>
        <w:t>כח</w:t>
      </w:r>
      <w:proofErr w:type="spellEnd"/>
      <w:r w:rsidRPr="00C65C1F">
        <w:rPr>
          <w:rFonts w:hint="cs"/>
          <w:rtl/>
        </w:rPr>
        <w:t xml:space="preserve"> </w:t>
      </w:r>
      <w:proofErr w:type="spellStart"/>
      <w:r w:rsidRPr="00C65C1F">
        <w:rPr>
          <w:rFonts w:hint="cs"/>
          <w:rtl/>
        </w:rPr>
        <w:t>האשה</w:t>
      </w:r>
      <w:proofErr w:type="spellEnd"/>
      <w:r w:rsidRPr="00C65C1F">
        <w:rPr>
          <w:rFonts w:hint="cs"/>
          <w:rtl/>
        </w:rPr>
        <w:t xml:space="preserve"> לסמוך את האיש הוא בסוד "</w:t>
      </w:r>
      <w:proofErr w:type="spellStart"/>
      <w:r w:rsidRPr="00C65C1F">
        <w:rPr>
          <w:rFonts w:hint="cs"/>
          <w:rtl/>
        </w:rPr>
        <w:t>תתאה</w:t>
      </w:r>
      <w:proofErr w:type="spellEnd"/>
      <w:r w:rsidRPr="00C65C1F">
        <w:rPr>
          <w:rFonts w:hint="cs"/>
          <w:rtl/>
        </w:rPr>
        <w:t xml:space="preserve"> גבר"</w:t>
      </w:r>
      <w:r w:rsidRPr="00C65C1F">
        <w:rPr>
          <w:noProof/>
          <w:position w:val="-4"/>
          <w:vertAlign w:val="superscript"/>
          <w:rtl/>
        </w:rPr>
        <w:endnoteReference w:id="9"/>
      </w:r>
      <w:r w:rsidRPr="00C65C1F">
        <w:rPr>
          <w:rFonts w:hint="cs"/>
          <w:rtl/>
        </w:rPr>
        <w:t xml:space="preserve">, הדורש </w:t>
      </w:r>
      <w:proofErr w:type="spellStart"/>
      <w:r w:rsidRPr="00C65C1F">
        <w:rPr>
          <w:rFonts w:hint="cs"/>
          <w:rtl/>
        </w:rPr>
        <w:t>מהאשה</w:t>
      </w:r>
      <w:proofErr w:type="spellEnd"/>
      <w:r w:rsidRPr="00C65C1F">
        <w:rPr>
          <w:rFonts w:hint="cs"/>
          <w:rtl/>
        </w:rPr>
        <w:t xml:space="preserve"> לגלות את הצד הגברי שבה. גבריות </w:t>
      </w:r>
      <w:proofErr w:type="spellStart"/>
      <w:r w:rsidRPr="00C65C1F">
        <w:rPr>
          <w:rFonts w:hint="cs"/>
          <w:rtl/>
        </w:rPr>
        <w:t>האשה</w:t>
      </w:r>
      <w:proofErr w:type="spellEnd"/>
      <w:r w:rsidRPr="00C65C1F">
        <w:rPr>
          <w:rFonts w:hint="cs"/>
          <w:rtl/>
        </w:rPr>
        <w:t xml:space="preserve"> מתבטאת בהיותה "</w:t>
      </w:r>
      <w:proofErr w:type="spellStart"/>
      <w:r w:rsidRPr="00C65C1F">
        <w:rPr>
          <w:rFonts w:hint="cs"/>
          <w:rtl/>
        </w:rPr>
        <w:t>אשה</w:t>
      </w:r>
      <w:proofErr w:type="spellEnd"/>
      <w:r w:rsidRPr="00C65C1F">
        <w:rPr>
          <w:rFonts w:hint="cs"/>
          <w:rtl/>
        </w:rPr>
        <w:t xml:space="preserve"> משכלת"</w:t>
      </w:r>
      <w:r w:rsidRPr="00C65C1F">
        <w:rPr>
          <w:noProof/>
          <w:position w:val="-4"/>
          <w:vertAlign w:val="superscript"/>
          <w:rtl/>
        </w:rPr>
        <w:endnoteReference w:id="10"/>
      </w:r>
      <w:r w:rsidRPr="00C65C1F">
        <w:rPr>
          <w:rFonts w:hint="cs"/>
          <w:rtl/>
        </w:rPr>
        <w:t xml:space="preserve"> ובכך שהיא "</w:t>
      </w:r>
      <w:proofErr w:type="spellStart"/>
      <w:r w:rsidRPr="00C65C1F">
        <w:rPr>
          <w:rFonts w:hint="cs"/>
          <w:rtl/>
        </w:rPr>
        <w:t>אשה</w:t>
      </w:r>
      <w:proofErr w:type="spellEnd"/>
      <w:r w:rsidRPr="00C65C1F">
        <w:rPr>
          <w:rFonts w:hint="cs"/>
          <w:rtl/>
        </w:rPr>
        <w:t xml:space="preserve"> מזרעת תחלה [יולדת זכר]"</w:t>
      </w:r>
      <w:r w:rsidRPr="00C65C1F">
        <w:rPr>
          <w:noProof/>
          <w:position w:val="-4"/>
          <w:vertAlign w:val="superscript"/>
          <w:rtl/>
        </w:rPr>
        <w:endnoteReference w:id="11"/>
      </w:r>
      <w:r w:rsidRPr="00C65C1F">
        <w:rPr>
          <w:rFonts w:hint="cs"/>
          <w:rtl/>
        </w:rPr>
        <w:t>. בהקשר כאן, "</w:t>
      </w:r>
      <w:proofErr w:type="spellStart"/>
      <w:r w:rsidRPr="00C65C1F">
        <w:rPr>
          <w:rFonts w:hint="cs"/>
          <w:rtl/>
        </w:rPr>
        <w:t>אשה</w:t>
      </w:r>
      <w:proofErr w:type="spellEnd"/>
      <w:r w:rsidRPr="00C65C1F">
        <w:rPr>
          <w:rFonts w:hint="cs"/>
          <w:rtl/>
        </w:rPr>
        <w:t xml:space="preserve"> מש</w:t>
      </w:r>
      <w:r w:rsidRPr="00C65C1F">
        <w:rPr>
          <w:rFonts w:hint="eastAsia"/>
          <w:rtl/>
        </w:rPr>
        <w:t>ׂ</w:t>
      </w:r>
      <w:r w:rsidRPr="00C65C1F">
        <w:rPr>
          <w:rFonts w:hint="cs"/>
          <w:rtl/>
        </w:rPr>
        <w:t>כלת" היא "חכם הרואה את הנולד"</w:t>
      </w:r>
      <w:r w:rsidRPr="00C65C1F">
        <w:rPr>
          <w:noProof/>
          <w:position w:val="-4"/>
          <w:vertAlign w:val="superscript"/>
          <w:rtl/>
        </w:rPr>
        <w:endnoteReference w:id="12"/>
      </w:r>
      <w:r w:rsidRPr="00C65C1F">
        <w:rPr>
          <w:rFonts w:hint="cs"/>
          <w:rtl/>
        </w:rPr>
        <w:t xml:space="preserve"> הצופה את נפילתו הקרבה ובאה של האיש, ומקדימה רפואה למכה כשהיא "מזרעת תחלה" וסומכת אותו בטרם שיפול. זהו שרש ההלכה לפיה צריך להיות "הוא למעלה והיא למטה"</w:t>
      </w:r>
      <w:bookmarkStart w:id="0" w:name="_Ref302074427"/>
      <w:r w:rsidRPr="00C65C1F">
        <w:rPr>
          <w:noProof/>
          <w:position w:val="-4"/>
          <w:vertAlign w:val="superscript"/>
          <w:rtl/>
        </w:rPr>
        <w:endnoteReference w:id="13"/>
      </w:r>
      <w:bookmarkEnd w:id="0"/>
      <w:r w:rsidRPr="00C65C1F">
        <w:rPr>
          <w:rFonts w:hint="cs"/>
          <w:rtl/>
        </w:rPr>
        <w:t xml:space="preserve">, </w:t>
      </w:r>
      <w:proofErr w:type="spellStart"/>
      <w:r w:rsidRPr="00C65C1F">
        <w:rPr>
          <w:rFonts w:hint="cs"/>
          <w:rtl/>
        </w:rPr>
        <w:t>האשה</w:t>
      </w:r>
      <w:proofErr w:type="spellEnd"/>
      <w:r w:rsidRPr="00C65C1F">
        <w:rPr>
          <w:rFonts w:hint="cs"/>
          <w:rtl/>
        </w:rPr>
        <w:t xml:space="preserve"> "נעשית כר לבעלה"</w:t>
      </w:r>
      <w:r w:rsidRPr="00C65C1F">
        <w:rPr>
          <w:noProof/>
          <w:position w:val="-4"/>
          <w:vertAlign w:val="superscript"/>
          <w:rtl/>
        </w:rPr>
        <w:endnoteReference w:id="14"/>
      </w:r>
      <w:r w:rsidRPr="00C65C1F">
        <w:rPr>
          <w:rFonts w:hint="cs"/>
          <w:rtl/>
        </w:rPr>
        <w:t xml:space="preserve"> על מנת שתוכל לסמוך אותו, לרכך את הנפילות ולהצילו מכל מיני מרעין </w:t>
      </w:r>
      <w:proofErr w:type="spellStart"/>
      <w:r w:rsidRPr="00C65C1F">
        <w:rPr>
          <w:rFonts w:hint="cs"/>
          <w:rtl/>
        </w:rPr>
        <w:t>בישין</w:t>
      </w:r>
      <w:proofErr w:type="spellEnd"/>
      <w:r w:rsidRPr="00C65C1F">
        <w:rPr>
          <w:rFonts w:hint="cs"/>
          <w:rtl/>
        </w:rPr>
        <w:t xml:space="preserve"> אליהם הוא פגיע אם יהפכו בני הזוג את היוצרות (שעל כן "הוא למטה והיא למעלה הרי זו דרך עזות"</w:t>
      </w:r>
      <w:r w:rsidRPr="00C65C1F">
        <w:rPr>
          <w:noProof/>
          <w:position w:val="-4"/>
          <w:vertAlign w:val="superscript"/>
          <w:rtl/>
        </w:rPr>
        <w:fldChar w:fldCharType="begin"/>
      </w:r>
      <w:r w:rsidRPr="00C65C1F">
        <w:rPr>
          <w:noProof/>
          <w:position w:val="-4"/>
          <w:vertAlign w:val="superscript"/>
          <w:rtl/>
        </w:rPr>
        <w:instrText xml:space="preserve"> </w:instrText>
      </w:r>
      <w:r w:rsidRPr="00C65C1F">
        <w:rPr>
          <w:rFonts w:hint="cs"/>
          <w:noProof/>
          <w:position w:val="-4"/>
          <w:vertAlign w:val="superscript"/>
        </w:rPr>
        <w:instrText>NOTEREF</w:instrText>
      </w:r>
      <w:r w:rsidRPr="00C65C1F">
        <w:rPr>
          <w:rFonts w:hint="cs"/>
          <w:noProof/>
          <w:position w:val="-4"/>
          <w:vertAlign w:val="superscript"/>
          <w:rtl/>
        </w:rPr>
        <w:instrText xml:space="preserve"> _</w:instrText>
      </w:r>
      <w:r w:rsidRPr="00C65C1F">
        <w:rPr>
          <w:rFonts w:hint="cs"/>
          <w:noProof/>
          <w:position w:val="-4"/>
          <w:vertAlign w:val="superscript"/>
        </w:rPr>
        <w:instrText>Ref302074427 \h</w:instrText>
      </w:r>
      <w:r w:rsidRPr="00C65C1F">
        <w:rPr>
          <w:noProof/>
          <w:position w:val="-4"/>
          <w:vertAlign w:val="superscript"/>
          <w:rtl/>
        </w:rPr>
        <w:instrText xml:space="preserve"> </w:instrText>
      </w:r>
      <w:r w:rsidRPr="00C65C1F">
        <w:rPr>
          <w:noProof/>
          <w:position w:val="-4"/>
          <w:vertAlign w:val="superscript"/>
        </w:rPr>
      </w:r>
      <w:r w:rsidRPr="00C65C1F">
        <w:rPr>
          <w:noProof/>
          <w:position w:val="-4"/>
          <w:vertAlign w:val="superscript"/>
          <w:rtl/>
        </w:rPr>
        <w:instrText xml:space="preserve"> \* </w:instrText>
      </w:r>
      <w:r w:rsidRPr="00C65C1F">
        <w:rPr>
          <w:noProof/>
          <w:position w:val="-4"/>
          <w:vertAlign w:val="superscript"/>
        </w:rPr>
        <w:instrText>MERGEFORMAT</w:instrText>
      </w:r>
      <w:r w:rsidRPr="00C65C1F">
        <w:rPr>
          <w:noProof/>
          <w:position w:val="-4"/>
          <w:vertAlign w:val="superscript"/>
          <w:rtl/>
        </w:rPr>
        <w:instrText xml:space="preserve"> </w:instrText>
      </w:r>
      <w:r w:rsidRPr="00C65C1F">
        <w:rPr>
          <w:noProof/>
          <w:position w:val="-4"/>
          <w:vertAlign w:val="superscript"/>
          <w:rtl/>
        </w:rPr>
        <w:fldChar w:fldCharType="separate"/>
      </w:r>
      <w:r w:rsidRPr="00C65C1F">
        <w:rPr>
          <w:noProof/>
          <w:position w:val="-4"/>
          <w:vertAlign w:val="superscript"/>
          <w:rtl/>
        </w:rPr>
        <w:t>יג</w:t>
      </w:r>
      <w:r w:rsidRPr="00C65C1F">
        <w:rPr>
          <w:noProof/>
          <w:position w:val="-4"/>
          <w:vertAlign w:val="superscript"/>
          <w:rtl/>
        </w:rPr>
        <w:fldChar w:fldCharType="end"/>
      </w:r>
      <w:r w:rsidRPr="00C65C1F">
        <w:rPr>
          <w:rFonts w:hint="cs"/>
          <w:rtl/>
        </w:rPr>
        <w:t xml:space="preserve">, דרכו של "עז פנים [הנופל] </w:t>
      </w:r>
      <w:proofErr w:type="spellStart"/>
      <w:r w:rsidRPr="00C65C1F">
        <w:rPr>
          <w:rFonts w:hint="cs"/>
          <w:rtl/>
        </w:rPr>
        <w:t>לגיהנם</w:t>
      </w:r>
      <w:proofErr w:type="spellEnd"/>
      <w:r w:rsidRPr="00C65C1F">
        <w:rPr>
          <w:rFonts w:hint="cs"/>
          <w:rtl/>
        </w:rPr>
        <w:t>"</w:t>
      </w:r>
      <w:r w:rsidRPr="00C65C1F">
        <w:rPr>
          <w:noProof/>
          <w:position w:val="-4"/>
          <w:vertAlign w:val="superscript"/>
          <w:rtl/>
        </w:rPr>
        <w:endnoteReference w:id="15"/>
      </w:r>
      <w:r w:rsidRPr="00C65C1F">
        <w:rPr>
          <w:rFonts w:hint="cs"/>
          <w:rtl/>
        </w:rPr>
        <w:t>).</w:t>
      </w:r>
    </w:p>
    <w:p w:rsidR="005F4A47" w:rsidRPr="00C65C1F" w:rsidRDefault="00C65C1F" w:rsidP="00C65C1F">
      <w:r w:rsidRPr="00C65C1F">
        <w:rPr>
          <w:rFonts w:hint="cs"/>
          <w:rtl/>
        </w:rPr>
        <w:lastRenderedPageBreak/>
        <w:t xml:space="preserve">ורמז נוסף </w:t>
      </w:r>
      <w:proofErr w:type="spellStart"/>
      <w:r w:rsidRPr="00C65C1F">
        <w:rPr>
          <w:rFonts w:hint="cs"/>
          <w:rtl/>
        </w:rPr>
        <w:t>בענין</w:t>
      </w:r>
      <w:proofErr w:type="spellEnd"/>
      <w:r w:rsidRPr="00C65C1F">
        <w:rPr>
          <w:rFonts w:hint="cs"/>
          <w:rtl/>
        </w:rPr>
        <w:t xml:space="preserve">: אותיות המילוי של </w:t>
      </w:r>
      <w:r w:rsidRPr="00C65C1F">
        <w:rPr>
          <w:rFonts w:hint="cs"/>
          <w:b/>
          <w:bCs/>
          <w:sz w:val="28"/>
          <w:szCs w:val="28"/>
          <w:rtl/>
        </w:rPr>
        <w:t>נס</w:t>
      </w:r>
      <w:r w:rsidRPr="00C65C1F">
        <w:rPr>
          <w:rFonts w:hint="cs"/>
          <w:rtl/>
        </w:rPr>
        <w:t xml:space="preserve"> </w:t>
      </w:r>
      <w:r w:rsidRPr="00C65C1F">
        <w:rPr>
          <w:rtl/>
        </w:rPr>
        <w:t>–</w:t>
      </w:r>
      <w:r w:rsidRPr="00C65C1F">
        <w:rPr>
          <w:rFonts w:hint="cs"/>
          <w:rtl/>
        </w:rPr>
        <w:t xml:space="preserve"> נ</w:t>
      </w:r>
      <w:r w:rsidRPr="00C65C1F">
        <w:rPr>
          <w:rFonts w:hint="cs"/>
          <w:b/>
          <w:bCs/>
          <w:sz w:val="28"/>
          <w:szCs w:val="28"/>
          <w:rtl/>
        </w:rPr>
        <w:t>ון</w:t>
      </w:r>
      <w:r w:rsidRPr="00C65C1F">
        <w:rPr>
          <w:rFonts w:hint="cs"/>
          <w:rtl/>
        </w:rPr>
        <w:t xml:space="preserve"> ס</w:t>
      </w:r>
      <w:r w:rsidRPr="00C65C1F">
        <w:rPr>
          <w:rFonts w:hint="cs"/>
          <w:b/>
          <w:bCs/>
          <w:sz w:val="28"/>
          <w:szCs w:val="28"/>
          <w:rtl/>
        </w:rPr>
        <w:t>מך</w:t>
      </w:r>
      <w:r w:rsidRPr="00C65C1F">
        <w:rPr>
          <w:rFonts w:hint="cs"/>
          <w:rtl/>
        </w:rPr>
        <w:t xml:space="preserve"> </w:t>
      </w:r>
      <w:r w:rsidRPr="00C65C1F">
        <w:rPr>
          <w:rtl/>
        </w:rPr>
        <w:t>–</w:t>
      </w:r>
      <w:r w:rsidRPr="00C65C1F">
        <w:rPr>
          <w:rFonts w:hint="cs"/>
          <w:rtl/>
        </w:rPr>
        <w:t xml:space="preserve"> מצטרפות למילים </w:t>
      </w:r>
      <w:r w:rsidRPr="00C65C1F">
        <w:rPr>
          <w:rFonts w:hint="cs"/>
          <w:b/>
          <w:bCs/>
          <w:sz w:val="28"/>
          <w:szCs w:val="28"/>
          <w:rtl/>
        </w:rPr>
        <w:t>נמוך</w:t>
      </w:r>
      <w:r w:rsidRPr="00C65C1F">
        <w:rPr>
          <w:rFonts w:hint="cs"/>
          <w:rtl/>
        </w:rPr>
        <w:t xml:space="preserve"> ו-</w:t>
      </w:r>
      <w:r w:rsidRPr="00C65C1F">
        <w:rPr>
          <w:rFonts w:hint="cs"/>
          <w:b/>
          <w:bCs/>
          <w:sz w:val="28"/>
          <w:szCs w:val="28"/>
          <w:rtl/>
        </w:rPr>
        <w:t>מכון</w:t>
      </w:r>
      <w:r w:rsidRPr="00C65C1F">
        <w:rPr>
          <w:rFonts w:hint="cs"/>
          <w:rtl/>
        </w:rPr>
        <w:t xml:space="preserve">. עבודת האיש היא לרדת </w:t>
      </w:r>
      <w:r w:rsidRPr="00C65C1F">
        <w:rPr>
          <w:rFonts w:hint="cs"/>
          <w:b/>
          <w:bCs/>
          <w:sz w:val="28"/>
          <w:szCs w:val="28"/>
          <w:rtl/>
        </w:rPr>
        <w:t>נמוך</w:t>
      </w:r>
      <w:r w:rsidRPr="00C65C1F">
        <w:rPr>
          <w:rFonts w:hint="cs"/>
          <w:rtl/>
        </w:rPr>
        <w:t xml:space="preserve"> ככל שהוא יכול, "</w:t>
      </w:r>
      <w:proofErr w:type="spellStart"/>
      <w:r w:rsidRPr="00C65C1F">
        <w:rPr>
          <w:rFonts w:hint="cs"/>
          <w:rtl/>
        </w:rPr>
        <w:t>חות</w:t>
      </w:r>
      <w:proofErr w:type="spellEnd"/>
      <w:r w:rsidRPr="00C65C1F">
        <w:rPr>
          <w:rFonts w:hint="cs"/>
          <w:rtl/>
        </w:rPr>
        <w:t xml:space="preserve"> </w:t>
      </w:r>
      <w:proofErr w:type="spellStart"/>
      <w:r w:rsidRPr="00C65C1F">
        <w:rPr>
          <w:rFonts w:hint="cs"/>
          <w:rtl/>
        </w:rPr>
        <w:t>דרגא</w:t>
      </w:r>
      <w:proofErr w:type="spellEnd"/>
      <w:r w:rsidRPr="00C65C1F">
        <w:rPr>
          <w:rFonts w:hint="cs"/>
          <w:rtl/>
        </w:rPr>
        <w:t xml:space="preserve">", על מנת להעניק </w:t>
      </w:r>
      <w:proofErr w:type="spellStart"/>
      <w:r w:rsidRPr="00C65C1F">
        <w:rPr>
          <w:rFonts w:hint="cs"/>
          <w:rtl/>
        </w:rPr>
        <w:t>לרעיתו</w:t>
      </w:r>
      <w:proofErr w:type="spellEnd"/>
      <w:r w:rsidRPr="00C65C1F">
        <w:rPr>
          <w:rFonts w:hint="cs"/>
          <w:rtl/>
        </w:rPr>
        <w:t xml:space="preserve"> את כל המצטרך לה, ואילו עבודת </w:t>
      </w:r>
      <w:proofErr w:type="spellStart"/>
      <w:r w:rsidRPr="00C65C1F">
        <w:rPr>
          <w:rFonts w:hint="cs"/>
          <w:rtl/>
        </w:rPr>
        <w:t>האשה</w:t>
      </w:r>
      <w:proofErr w:type="spellEnd"/>
      <w:r w:rsidRPr="00C65C1F">
        <w:rPr>
          <w:rFonts w:hint="cs"/>
          <w:rtl/>
        </w:rPr>
        <w:t xml:space="preserve"> היא להיות </w:t>
      </w:r>
      <w:r w:rsidRPr="00C65C1F">
        <w:rPr>
          <w:rFonts w:hint="cs"/>
          <w:b/>
          <w:bCs/>
          <w:sz w:val="28"/>
          <w:szCs w:val="28"/>
          <w:rtl/>
        </w:rPr>
        <w:t>מכון</w:t>
      </w:r>
      <w:r w:rsidRPr="00C65C1F">
        <w:rPr>
          <w:rFonts w:hint="cs"/>
          <w:rtl/>
        </w:rPr>
        <w:t>, כַּן הסומך את הנפילה שלא תזיק אלא תממש את היעוד של "דירה בתחתונים"</w:t>
      </w:r>
      <w:r w:rsidRPr="00C65C1F">
        <w:rPr>
          <w:noProof/>
          <w:position w:val="-4"/>
          <w:vertAlign w:val="superscript"/>
          <w:rtl/>
        </w:rPr>
        <w:endnoteReference w:id="16"/>
      </w:r>
      <w:r w:rsidRPr="00C65C1F">
        <w:rPr>
          <w:rFonts w:hint="cs"/>
          <w:rtl/>
        </w:rPr>
        <w:t>, כאמור בשירת הים (על קריעת ים סוף, אליה נמשלו הנישואין</w:t>
      </w:r>
      <w:r w:rsidRPr="00C65C1F">
        <w:rPr>
          <w:noProof/>
          <w:position w:val="-4"/>
          <w:vertAlign w:val="superscript"/>
          <w:rtl/>
        </w:rPr>
        <w:endnoteReference w:id="17"/>
      </w:r>
      <w:r w:rsidRPr="00C65C1F">
        <w:rPr>
          <w:rFonts w:hint="cs"/>
          <w:rtl/>
        </w:rPr>
        <w:t>) "מכון לשבתך פעלת הוי'"</w:t>
      </w:r>
      <w:r w:rsidRPr="00C65C1F">
        <w:rPr>
          <w:noProof/>
          <w:position w:val="-4"/>
          <w:vertAlign w:val="superscript"/>
          <w:rtl/>
        </w:rPr>
        <w:endnoteReference w:id="18"/>
      </w:r>
      <w:r w:rsidRPr="00C65C1F">
        <w:rPr>
          <w:rFonts w:hint="cs"/>
          <w:rtl/>
        </w:rPr>
        <w:t xml:space="preserve">. אזי מתפרש "נפלה לא תוסיף קום" </w:t>
      </w:r>
      <w:proofErr w:type="spellStart"/>
      <w:r w:rsidRPr="00C65C1F">
        <w:rPr>
          <w:rFonts w:hint="cs"/>
          <w:rtl/>
        </w:rPr>
        <w:t>למעליותא</w:t>
      </w:r>
      <w:proofErr w:type="spellEnd"/>
      <w:r w:rsidRPr="00C65C1F">
        <w:rPr>
          <w:rFonts w:hint="cs"/>
          <w:rtl/>
        </w:rPr>
        <w:t>, שאין צורך בקימה משום שהיעד היה להגיע למקום התחתון ושם לעשות מכון לו יתברך</w:t>
      </w:r>
      <w:r w:rsidRPr="00C65C1F">
        <w:rPr>
          <w:noProof/>
          <w:position w:val="-4"/>
          <w:vertAlign w:val="superscript"/>
          <w:rtl/>
        </w:rPr>
        <w:endnoteReference w:id="19"/>
      </w:r>
      <w:r w:rsidRPr="00C65C1F">
        <w:rPr>
          <w:rFonts w:hint="cs"/>
          <w:rtl/>
        </w:rPr>
        <w:t xml:space="preserve">. </w:t>
      </w:r>
      <w:r w:rsidRPr="00C65C1F">
        <w:rPr>
          <w:rFonts w:hint="cs"/>
          <w:b/>
          <w:bCs/>
          <w:sz w:val="28"/>
          <w:szCs w:val="28"/>
          <w:rtl/>
        </w:rPr>
        <w:t>מכון</w:t>
      </w:r>
      <w:r w:rsidRPr="00C65C1F">
        <w:rPr>
          <w:rFonts w:hint="cs"/>
          <w:rtl/>
        </w:rPr>
        <w:t xml:space="preserve"> הוא גם שמו של רקיע החסד-האהבה</w:t>
      </w:r>
      <w:r w:rsidRPr="00C65C1F">
        <w:rPr>
          <w:noProof/>
          <w:position w:val="-4"/>
          <w:vertAlign w:val="superscript"/>
          <w:rtl/>
        </w:rPr>
        <w:endnoteReference w:id="20"/>
      </w:r>
      <w:r w:rsidRPr="00C65C1F">
        <w:rPr>
          <w:rFonts w:hint="cs"/>
          <w:rtl/>
        </w:rPr>
        <w:t xml:space="preserve">, והוא עולה </w:t>
      </w:r>
      <w:proofErr w:type="spellStart"/>
      <w:r w:rsidRPr="00C65C1F">
        <w:rPr>
          <w:rFonts w:hint="cs"/>
          <w:rtl/>
        </w:rPr>
        <w:t>בגימטריא</w:t>
      </w:r>
      <w:proofErr w:type="spellEnd"/>
      <w:r w:rsidRPr="00C65C1F">
        <w:rPr>
          <w:rFonts w:hint="cs"/>
          <w:rtl/>
        </w:rPr>
        <w:t xml:space="preserve"> "</w:t>
      </w:r>
      <w:r w:rsidRPr="00C65C1F">
        <w:rPr>
          <w:rFonts w:hint="cs"/>
          <w:b/>
          <w:bCs/>
          <w:sz w:val="28"/>
          <w:szCs w:val="28"/>
          <w:rtl/>
        </w:rPr>
        <w:t>חן</w:t>
      </w:r>
      <w:r w:rsidRPr="00C65C1F">
        <w:rPr>
          <w:rFonts w:hint="cs"/>
          <w:rtl/>
        </w:rPr>
        <w:t xml:space="preserve"> </w:t>
      </w:r>
      <w:r w:rsidRPr="00C65C1F">
        <w:rPr>
          <w:rFonts w:hint="cs"/>
          <w:b/>
          <w:bCs/>
          <w:sz w:val="28"/>
          <w:szCs w:val="28"/>
          <w:rtl/>
        </w:rPr>
        <w:t>חן</w:t>
      </w:r>
      <w:r w:rsidRPr="00C65C1F">
        <w:rPr>
          <w:rFonts w:hint="cs"/>
          <w:rtl/>
        </w:rPr>
        <w:t>"</w:t>
      </w:r>
      <w:r w:rsidRPr="00C65C1F">
        <w:rPr>
          <w:noProof/>
          <w:position w:val="-4"/>
          <w:vertAlign w:val="superscript"/>
          <w:rtl/>
        </w:rPr>
        <w:endnoteReference w:id="21"/>
      </w:r>
      <w:r w:rsidRPr="00C65C1F">
        <w:rPr>
          <w:rFonts w:hint="cs"/>
          <w:rtl/>
        </w:rPr>
        <w:t>, רמז לנשיאת ומציאת החן ההדדית של בני הזוג.</w:t>
      </w:r>
      <w:bookmarkStart w:id="1" w:name="_GoBack"/>
      <w:bookmarkEnd w:id="1"/>
    </w:p>
    <w:sectPr w:rsidR="005F4A47" w:rsidRPr="00C65C1F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265" w:rsidRDefault="00954265" w:rsidP="00C65C1F">
      <w:pPr>
        <w:spacing w:after="0" w:line="240" w:lineRule="auto"/>
      </w:pPr>
      <w:r>
        <w:separator/>
      </w:r>
    </w:p>
  </w:endnote>
  <w:endnote w:type="continuationSeparator" w:id="0">
    <w:p w:rsidR="00954265" w:rsidRDefault="00954265" w:rsidP="00C65C1F">
      <w:pPr>
        <w:spacing w:after="0" w:line="240" w:lineRule="auto"/>
      </w:pPr>
      <w:r>
        <w:continuationSeparator/>
      </w:r>
    </w:p>
  </w:endnote>
  <w:endnote w:id="1">
    <w:p w:rsidR="00C65C1F" w:rsidRDefault="00C65C1F" w:rsidP="00C65C1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בראשית ב, </w:t>
      </w:r>
      <w:proofErr w:type="spellStart"/>
      <w:r>
        <w:rPr>
          <w:rFonts w:hint="cs"/>
          <w:rtl/>
        </w:rPr>
        <w:t>יח</w:t>
      </w:r>
      <w:proofErr w:type="spellEnd"/>
      <w:r>
        <w:rPr>
          <w:rFonts w:hint="cs"/>
          <w:rtl/>
        </w:rPr>
        <w:t>.</w:t>
      </w:r>
    </w:p>
  </w:endnote>
  <w:endnote w:id="2">
    <w:p w:rsidR="00C65C1F" w:rsidRDefault="00C65C1F" w:rsidP="00C65C1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קמד</w:t>
      </w:r>
      <w:proofErr w:type="spellEnd"/>
      <w:r>
        <w:rPr>
          <w:rFonts w:hint="cs"/>
          <w:rtl/>
        </w:rPr>
        <w:t>, יד.</w:t>
      </w:r>
    </w:p>
  </w:endnote>
  <w:endnote w:id="3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עמוס ה, ב.</w:t>
      </w:r>
    </w:p>
  </w:endnote>
  <w:endnote w:id="4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ברכות ד, ב.</w:t>
      </w:r>
    </w:p>
  </w:endnote>
  <w:endnote w:id="5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יבמות </w:t>
      </w:r>
      <w:proofErr w:type="spellStart"/>
      <w:r>
        <w:rPr>
          <w:rFonts w:hint="cs"/>
          <w:rtl/>
        </w:rPr>
        <w:t>סג</w:t>
      </w:r>
      <w:proofErr w:type="spellEnd"/>
      <w:r>
        <w:rPr>
          <w:rFonts w:hint="cs"/>
          <w:rtl/>
        </w:rPr>
        <w:t>, א.</w:t>
      </w:r>
    </w:p>
  </w:endnote>
  <w:endnote w:id="6">
    <w:p w:rsidR="00C65C1F" w:rsidRPr="006413A1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 w:rsidRPr="006413A1">
        <w:rPr>
          <w:rtl/>
        </w:rPr>
        <w:t xml:space="preserve"> ראה ז</w:t>
      </w:r>
      <w:r>
        <w:rPr>
          <w:rFonts w:hint="cs"/>
          <w:rtl/>
        </w:rPr>
        <w:t xml:space="preserve">הר </w:t>
      </w:r>
      <w:proofErr w:type="spellStart"/>
      <w:r w:rsidRPr="006413A1">
        <w:rPr>
          <w:rtl/>
        </w:rPr>
        <w:t>ח"ג</w:t>
      </w:r>
      <w:proofErr w:type="spellEnd"/>
      <w:r w:rsidRPr="006413A1">
        <w:rPr>
          <w:rtl/>
        </w:rPr>
        <w:t xml:space="preserve"> קלה, ב. עץ חיים שער ט (שער שבירת הכלים).</w:t>
      </w:r>
    </w:p>
  </w:endnote>
  <w:endnote w:id="7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עב,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. ראה גם פסחים נד, א.</w:t>
      </w:r>
    </w:p>
  </w:endnote>
  <w:endnote w:id="8">
    <w:p w:rsidR="00C65C1F" w:rsidRDefault="00C65C1F" w:rsidP="00C65C1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כד,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9">
    <w:p w:rsidR="00C65C1F" w:rsidRDefault="00C65C1F" w:rsidP="00C65C1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פסחים </w:t>
      </w:r>
      <w:proofErr w:type="spellStart"/>
      <w:r>
        <w:rPr>
          <w:rFonts w:hint="cs"/>
          <w:rtl/>
        </w:rPr>
        <w:t>עו</w:t>
      </w:r>
      <w:proofErr w:type="spellEnd"/>
      <w:r>
        <w:rPr>
          <w:rFonts w:hint="cs"/>
          <w:rtl/>
        </w:rPr>
        <w:t xml:space="preserve">, א </w:t>
      </w:r>
      <w:proofErr w:type="spellStart"/>
      <w:r>
        <w:rPr>
          <w:rFonts w:hint="cs"/>
          <w:rtl/>
        </w:rPr>
        <w:t>וש"נ</w:t>
      </w:r>
      <w:proofErr w:type="spellEnd"/>
      <w:r>
        <w:rPr>
          <w:rFonts w:hint="cs"/>
          <w:rtl/>
        </w:rPr>
        <w:t>.</w:t>
      </w:r>
    </w:p>
  </w:endnote>
  <w:endnote w:id="10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משלי </w:t>
      </w:r>
      <w:proofErr w:type="spellStart"/>
      <w:r>
        <w:rPr>
          <w:rFonts w:hint="cs"/>
          <w:rtl/>
        </w:rPr>
        <w:t>יט</w:t>
      </w:r>
      <w:proofErr w:type="spellEnd"/>
      <w:r>
        <w:rPr>
          <w:rFonts w:hint="cs"/>
          <w:rtl/>
        </w:rPr>
        <w:t>, יד.</w:t>
      </w:r>
    </w:p>
  </w:endnote>
  <w:endnote w:id="11">
    <w:p w:rsidR="00C65C1F" w:rsidRDefault="00C65C1F" w:rsidP="00C65C1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נדה לא, א </w:t>
      </w:r>
      <w:proofErr w:type="spellStart"/>
      <w:r>
        <w:rPr>
          <w:rFonts w:hint="cs"/>
          <w:rtl/>
        </w:rPr>
        <w:t>וש"נ</w:t>
      </w:r>
      <w:proofErr w:type="spellEnd"/>
      <w:r>
        <w:rPr>
          <w:rFonts w:hint="cs"/>
          <w:rtl/>
        </w:rPr>
        <w:t>.</w:t>
      </w:r>
    </w:p>
  </w:endnote>
  <w:endnote w:id="12">
    <w:p w:rsidR="00C65C1F" w:rsidRDefault="00C65C1F" w:rsidP="00C65C1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תמיד לב, א.</w:t>
      </w:r>
    </w:p>
  </w:endnote>
  <w:endnote w:id="13">
    <w:p w:rsidR="00C65C1F" w:rsidRDefault="00C65C1F" w:rsidP="00C65C1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מסכת כלה פ"א. </w:t>
      </w:r>
      <w:proofErr w:type="spellStart"/>
      <w:r>
        <w:rPr>
          <w:rFonts w:hint="cs"/>
          <w:rtl/>
        </w:rPr>
        <w:t>שו"ע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או"ח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רמ</w:t>
      </w:r>
      <w:proofErr w:type="spellEnd"/>
      <w:r>
        <w:rPr>
          <w:rFonts w:hint="cs"/>
          <w:rtl/>
        </w:rPr>
        <w:t>, ו.</w:t>
      </w:r>
    </w:p>
  </w:endnote>
  <w:endnote w:id="14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עירובין ק, ב (וראה באופן אחר בשער ו בתורה "שלשה שלבים ביחוד").</w:t>
      </w:r>
    </w:p>
  </w:endnote>
  <w:endnote w:id="15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אבות פ"ה מ"כ.</w:t>
      </w:r>
    </w:p>
  </w:endnote>
  <w:endnote w:id="16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proofErr w:type="spellStart"/>
      <w:r>
        <w:rPr>
          <w:rFonts w:hint="cs"/>
          <w:rtl/>
        </w:rPr>
        <w:t>תנחומא</w:t>
      </w:r>
      <w:proofErr w:type="spellEnd"/>
      <w:r>
        <w:rPr>
          <w:rFonts w:hint="cs"/>
          <w:rtl/>
        </w:rPr>
        <w:t xml:space="preserve"> נשא </w:t>
      </w:r>
      <w:proofErr w:type="spellStart"/>
      <w:r>
        <w:rPr>
          <w:rFonts w:hint="cs"/>
          <w:rtl/>
        </w:rPr>
        <w:t>טז</w:t>
      </w:r>
      <w:proofErr w:type="spellEnd"/>
      <w:r>
        <w:rPr>
          <w:rFonts w:hint="cs"/>
          <w:rtl/>
        </w:rPr>
        <w:t>.</w:t>
      </w:r>
    </w:p>
  </w:endnote>
  <w:endnote w:id="17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סוטה ב, א (וכנ"ל בתורות הקודמות).</w:t>
      </w:r>
    </w:p>
  </w:endnote>
  <w:endnote w:id="18">
    <w:p w:rsidR="00C65C1F" w:rsidRDefault="00C65C1F" w:rsidP="00C65C1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שמות טו,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.</w:t>
      </w:r>
    </w:p>
  </w:endnote>
  <w:endnote w:id="19">
    <w:p w:rsidR="00C65C1F" w:rsidRDefault="00C65C1F" w:rsidP="00C65C1F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גם </w:t>
      </w:r>
      <w:proofErr w:type="spellStart"/>
      <w:r>
        <w:rPr>
          <w:rFonts w:hint="cs"/>
          <w:rtl/>
        </w:rPr>
        <w:t>תו"א</w:t>
      </w:r>
      <w:proofErr w:type="spellEnd"/>
      <w:r>
        <w:rPr>
          <w:rFonts w:hint="cs"/>
          <w:rtl/>
        </w:rPr>
        <w:t xml:space="preserve"> צג, ג; צד, ב.</w:t>
      </w:r>
    </w:p>
  </w:endnote>
  <w:endnote w:id="20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בפירוש </w:t>
      </w:r>
      <w:proofErr w:type="spellStart"/>
      <w:r>
        <w:rPr>
          <w:rFonts w:hint="cs"/>
          <w:rtl/>
        </w:rPr>
        <w:t>הרמ"ז</w:t>
      </w:r>
      <w:proofErr w:type="spellEnd"/>
      <w:r>
        <w:rPr>
          <w:rFonts w:hint="cs"/>
          <w:rtl/>
        </w:rPr>
        <w:t xml:space="preserve"> לזהר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רט, א. קהלת יעקב ערך ז רקיעים (ובכ"ד).</w:t>
      </w:r>
    </w:p>
  </w:endnote>
  <w:endnote w:id="21">
    <w:p w:rsidR="00C65C1F" w:rsidRDefault="00C65C1F" w:rsidP="00C65C1F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זכריה ד, ז.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265" w:rsidRDefault="00954265" w:rsidP="00C65C1F">
      <w:pPr>
        <w:spacing w:after="0" w:line="240" w:lineRule="auto"/>
      </w:pPr>
      <w:r>
        <w:separator/>
      </w:r>
    </w:p>
  </w:footnote>
  <w:footnote w:type="continuationSeparator" w:id="0">
    <w:p w:rsidR="00954265" w:rsidRDefault="00954265" w:rsidP="00C65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5D9"/>
    <w:rsid w:val="00061E65"/>
    <w:rsid w:val="000945D9"/>
    <w:rsid w:val="00954265"/>
    <w:rsid w:val="00AC2310"/>
    <w:rsid w:val="00C6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65C1F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65C1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65C1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C65C1F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C65C1F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C65C1F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C65C1F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C65C1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C65C1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65C1F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65C1F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65C1F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C65C1F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C65C1F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C65C1F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C65C1F"/>
    <w:rPr>
      <w:rFonts w:ascii="Times New Roman" w:eastAsia="Times New Roman" w:hAnsi="Times New Roman" w:cs="oprFrank"/>
      <w:sz w:val="20"/>
      <w:szCs w:val="23"/>
      <w:lang w:eastAsia="he-IL"/>
    </w:rPr>
  </w:style>
  <w:style w:type="paragraph" w:customStyle="1" w:styleId="a7">
    <w:name w:val="פתיח תו"/>
    <w:basedOn w:val="a"/>
    <w:link w:val="a8"/>
    <w:rsid w:val="00C65C1F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C65C1F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1690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2017-08-16T10:53:00Z</dcterms:created>
  <dcterms:modified xsi:type="dcterms:W3CDTF">2017-08-16T10:54:00Z</dcterms:modified>
</cp:coreProperties>
</file>