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E8" w:rsidRDefault="001F3DE8" w:rsidP="001F3DE8">
      <w:pPr>
        <w:pStyle w:val="2"/>
        <w:rPr>
          <w:rFonts w:hint="cs"/>
          <w:rtl/>
        </w:rPr>
      </w:pPr>
      <w:r>
        <w:rPr>
          <w:rFonts w:hint="cs"/>
          <w:rtl/>
        </w:rPr>
        <w:t>"וידגו לרב"</w:t>
      </w:r>
    </w:p>
    <w:p w:rsidR="001F3DE8" w:rsidRPr="002E2CC9" w:rsidRDefault="001F3DE8" w:rsidP="001F3DE8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2E2CC9">
        <w:rPr>
          <w:rStyle w:val="a8"/>
          <w:rFonts w:hint="cs"/>
          <w:rtl/>
        </w:rPr>
        <w:t>פ</w:t>
      </w:r>
    </w:p>
    <w:p w:rsidR="001F3DE8" w:rsidRDefault="001F3DE8" w:rsidP="001F3DE8">
      <w:pPr>
        <w:rPr>
          <w:rtl/>
        </w:rPr>
      </w:pPr>
      <w:r>
        <w:rPr>
          <w:rFonts w:hint="cs"/>
          <w:rtl/>
        </w:rPr>
        <w:t xml:space="preserve">ירוש שמה של האות </w:t>
      </w:r>
      <w:r w:rsidRPr="00416E14">
        <w:rPr>
          <w:rFonts w:hint="cs"/>
          <w:b/>
          <w:bCs/>
          <w:sz w:val="28"/>
          <w:szCs w:val="28"/>
          <w:rtl/>
        </w:rPr>
        <w:t>נ</w:t>
      </w:r>
      <w:r>
        <w:rPr>
          <w:rFonts w:hint="cs"/>
          <w:rtl/>
        </w:rPr>
        <w:t xml:space="preserve">ון, הפותחת את </w:t>
      </w:r>
      <w:r w:rsidRPr="00416E14">
        <w:rPr>
          <w:rFonts w:hint="cs"/>
          <w:b/>
          <w:bCs/>
          <w:sz w:val="28"/>
          <w:szCs w:val="28"/>
          <w:rtl/>
        </w:rPr>
        <w:t>נ</w:t>
      </w:r>
      <w:r>
        <w:rPr>
          <w:rFonts w:hint="cs"/>
          <w:rtl/>
        </w:rPr>
        <w:t>ס ה</w:t>
      </w:r>
      <w:r w:rsidRPr="00416E14">
        <w:rPr>
          <w:rFonts w:hint="cs"/>
          <w:b/>
          <w:bCs/>
          <w:sz w:val="28"/>
          <w:szCs w:val="28"/>
          <w:rtl/>
        </w:rPr>
        <w:t>נ</w:t>
      </w:r>
      <w:r>
        <w:rPr>
          <w:rFonts w:hint="cs"/>
          <w:rtl/>
        </w:rPr>
        <w:t xml:space="preserve">ישואין, הוא דג בארמית (וכן </w:t>
      </w:r>
      <w:r w:rsidRPr="004D1FEC">
        <w:rPr>
          <w:rFonts w:hint="cs"/>
          <w:b/>
          <w:bCs/>
          <w:sz w:val="28"/>
          <w:szCs w:val="28"/>
          <w:rtl/>
        </w:rPr>
        <w:t>נון</w:t>
      </w:r>
      <w:r>
        <w:rPr>
          <w:rFonts w:hint="cs"/>
          <w:rtl/>
        </w:rPr>
        <w:t xml:space="preserve"> עולה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 w:rsidRPr="004D1FEC">
        <w:rPr>
          <w:rFonts w:hint="cs"/>
          <w:b/>
          <w:bCs/>
          <w:sz w:val="28"/>
          <w:szCs w:val="28"/>
          <w:rtl/>
        </w:rPr>
        <w:t>דג</w:t>
      </w:r>
      <w:r>
        <w:rPr>
          <w:rFonts w:hint="cs"/>
          <w:rtl/>
        </w:rPr>
        <w:t xml:space="preserve"> </w:t>
      </w:r>
      <w:r w:rsidRPr="004D1FEC">
        <w:rPr>
          <w:rFonts w:hint="cs"/>
          <w:b/>
          <w:bCs/>
          <w:sz w:val="28"/>
          <w:szCs w:val="28"/>
          <w:rtl/>
        </w:rPr>
        <w:t>גדול</w:t>
      </w:r>
      <w:r>
        <w:rPr>
          <w:rFonts w:hint="cs"/>
          <w:rtl/>
        </w:rPr>
        <w:t>). לדגים יש שייכות מיוחדת לנישואין, עד שאמרו כי "בתולה נשאת ברביעי ונבעלת בחמישי הואיל ונאמרה בו ברכה לדגים"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 xml:space="preserve">. אותיות </w:t>
      </w:r>
      <w:r w:rsidRPr="0097768E">
        <w:rPr>
          <w:rFonts w:hint="cs"/>
          <w:b/>
          <w:bCs/>
          <w:sz w:val="28"/>
          <w:szCs w:val="28"/>
          <w:rtl/>
        </w:rPr>
        <w:t>נס</w:t>
      </w:r>
      <w:r>
        <w:rPr>
          <w:rFonts w:hint="cs"/>
          <w:rtl/>
        </w:rPr>
        <w:t xml:space="preserve"> במספר קטן עולות </w:t>
      </w:r>
      <w:r w:rsidRPr="0097768E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>-</w:t>
      </w:r>
      <w:r w:rsidRPr="0097768E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>, כאשר ה-</w:t>
      </w:r>
      <w:r w:rsidRPr="0097768E">
        <w:rPr>
          <w:rFonts w:hint="cs"/>
          <w:b/>
          <w:bCs/>
          <w:sz w:val="28"/>
          <w:szCs w:val="28"/>
          <w:rtl/>
        </w:rPr>
        <w:t>נ</w:t>
      </w:r>
      <w:r>
        <w:rPr>
          <w:rFonts w:hint="cs"/>
          <w:rtl/>
        </w:rPr>
        <w:t xml:space="preserve"> רומזת לברכת "פרו ורבו"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 xml:space="preserve"> של הדגים ביום </w:t>
      </w:r>
      <w:r w:rsidRPr="0097768E">
        <w:rPr>
          <w:rFonts w:hint="cs"/>
          <w:b/>
          <w:bCs/>
          <w:sz w:val="28"/>
          <w:szCs w:val="28"/>
          <w:rtl/>
        </w:rPr>
        <w:t>ה</w:t>
      </w:r>
      <w:r>
        <w:rPr>
          <w:rFonts w:hint="cs"/>
          <w:rtl/>
        </w:rPr>
        <w:t xml:space="preserve"> למעשה בראשית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>-</w:t>
      </w:r>
      <w:r w:rsidRPr="0097768E">
        <w:rPr>
          <w:rFonts w:hint="cs"/>
          <w:b/>
          <w:bCs/>
          <w:sz w:val="28"/>
          <w:szCs w:val="28"/>
          <w:rtl/>
        </w:rPr>
        <w:t>ס</w:t>
      </w:r>
      <w:r>
        <w:rPr>
          <w:rFonts w:hint="cs"/>
          <w:rtl/>
        </w:rPr>
        <w:t xml:space="preserve"> לברכת "פרו ורבו"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 xml:space="preserve"> של אדם וחוה ביום </w:t>
      </w:r>
      <w:r w:rsidRPr="004176CF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למעשה בראשית. </w:t>
      </w:r>
      <w:proofErr w:type="spellStart"/>
      <w:r>
        <w:rPr>
          <w:rFonts w:hint="cs"/>
          <w:rtl/>
        </w:rPr>
        <w:t>בתחלה</w:t>
      </w:r>
      <w:proofErr w:type="spellEnd"/>
      <w:r>
        <w:rPr>
          <w:rFonts w:hint="cs"/>
          <w:rtl/>
        </w:rPr>
        <w:t xml:space="preserve"> זקוקים לברכת "פרו ורבו" האין סופית של הדגים, הנמצאים ב"עלמא </w:t>
      </w:r>
      <w:proofErr w:type="spellStart"/>
      <w:r>
        <w:rPr>
          <w:rFonts w:hint="cs"/>
          <w:rtl/>
        </w:rPr>
        <w:t>דאתכסיא</w:t>
      </w:r>
      <w:proofErr w:type="spellEnd"/>
      <w:r>
        <w:rPr>
          <w:rFonts w:hint="cs"/>
          <w:rtl/>
        </w:rPr>
        <w:t xml:space="preserve">" ושמורים </w:t>
      </w:r>
      <w:proofErr w:type="spellStart"/>
      <w:r>
        <w:rPr>
          <w:rFonts w:hint="cs"/>
          <w:rtl/>
        </w:rPr>
        <w:t>מעינא</w:t>
      </w:r>
      <w:proofErr w:type="spellEnd"/>
      <w:r>
        <w:rPr>
          <w:rFonts w:hint="cs"/>
          <w:rtl/>
        </w:rPr>
        <w:t xml:space="preserve"> בישא (כפי שאמור בשבט יוסף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>, שנתברך "</w:t>
      </w:r>
      <w:proofErr w:type="spellStart"/>
      <w:r>
        <w:rPr>
          <w:rFonts w:hint="cs"/>
          <w:rtl/>
        </w:rPr>
        <w:t>וידגו</w:t>
      </w:r>
      <w:proofErr w:type="spellEnd"/>
      <w:r>
        <w:rPr>
          <w:rFonts w:hint="cs"/>
          <w:rtl/>
        </w:rPr>
        <w:t xml:space="preserve"> לרב בקרב הארץ"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>), אך לאחר מכן אפשר לעלות לברכת "פרו ורבו" של האדם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>, כאשר ה-</w:t>
      </w:r>
      <w:r w:rsidRPr="00D66865">
        <w:rPr>
          <w:rFonts w:hint="cs"/>
          <w:b/>
          <w:bCs/>
          <w:sz w:val="28"/>
          <w:szCs w:val="28"/>
          <w:rtl/>
        </w:rPr>
        <w:t>ס</w:t>
      </w:r>
      <w:r>
        <w:rPr>
          <w:rFonts w:hint="cs"/>
          <w:rtl/>
        </w:rPr>
        <w:t xml:space="preserve"> רומזת לשמירת "</w:t>
      </w:r>
      <w:proofErr w:type="spellStart"/>
      <w:r>
        <w:rPr>
          <w:rFonts w:hint="cs"/>
          <w:rtl/>
        </w:rPr>
        <w:t>מטתו</w:t>
      </w:r>
      <w:proofErr w:type="spellEnd"/>
      <w:r>
        <w:rPr>
          <w:rFonts w:hint="cs"/>
          <w:rtl/>
        </w:rPr>
        <w:t xml:space="preserve"> שלשלמה" ש"ששים גב</w:t>
      </w:r>
      <w:r>
        <w:rPr>
          <w:rFonts w:hint="eastAsia"/>
          <w:rtl/>
        </w:rPr>
        <w:t>ֹ</w:t>
      </w:r>
      <w:r>
        <w:rPr>
          <w:rFonts w:hint="cs"/>
          <w:rtl/>
        </w:rPr>
        <w:t>רים סביב לה"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 xml:space="preserve"> (בבחינת "'שמור' </w:t>
      </w:r>
      <w:proofErr w:type="spellStart"/>
      <w:r>
        <w:rPr>
          <w:rFonts w:hint="cs"/>
          <w:rtl/>
        </w:rPr>
        <w:t>לנוקבא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ולכח</w:t>
      </w:r>
      <w:proofErr w:type="spellEnd"/>
      <w:r>
        <w:rPr>
          <w:rFonts w:hint="cs"/>
          <w:rtl/>
        </w:rPr>
        <w:t xml:space="preserve"> הפריה ורביה הטמון בששים האותיות של ברכת </w:t>
      </w:r>
      <w:proofErr w:type="spellStart"/>
      <w:r>
        <w:rPr>
          <w:rFonts w:hint="cs"/>
          <w:rtl/>
        </w:rPr>
        <w:t>כהנים</w:t>
      </w:r>
      <w:proofErr w:type="spellEnd"/>
      <w:r>
        <w:rPr>
          <w:rFonts w:hint="cs"/>
          <w:rtl/>
        </w:rPr>
        <w:t xml:space="preserve"> (הפותחת ב"יברכך הוי' </w:t>
      </w:r>
      <w:proofErr w:type="spellStart"/>
      <w:r>
        <w:rPr>
          <w:rFonts w:hint="cs"/>
          <w:rtl/>
        </w:rPr>
        <w:t>וישמרך</w:t>
      </w:r>
      <w:proofErr w:type="spellEnd"/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"'יברכך' בבנים '</w:t>
      </w:r>
      <w:proofErr w:type="spellStart"/>
      <w:r>
        <w:rPr>
          <w:rFonts w:hint="cs"/>
          <w:rtl/>
        </w:rPr>
        <w:t>וישמרך</w:t>
      </w:r>
      <w:proofErr w:type="spellEnd"/>
      <w:r>
        <w:rPr>
          <w:rFonts w:hint="cs"/>
          <w:rtl/>
        </w:rPr>
        <w:t>' בבנות"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>).</w:t>
      </w:r>
    </w:p>
    <w:p w:rsidR="001F3DE8" w:rsidRDefault="001F3DE8" w:rsidP="001F3DE8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 w:rsidRPr="00083C03">
        <w:rPr>
          <w:rFonts w:hint="cs"/>
          <w:b/>
          <w:bCs/>
          <w:sz w:val="28"/>
          <w:szCs w:val="28"/>
          <w:rtl/>
        </w:rPr>
        <w:t>דג</w:t>
      </w:r>
      <w:r>
        <w:rPr>
          <w:rFonts w:hint="cs"/>
          <w:rtl/>
        </w:rPr>
        <w:t xml:space="preserve"> </w:t>
      </w:r>
      <w:r w:rsidRPr="00083C03">
        <w:rPr>
          <w:rFonts w:hint="cs"/>
          <w:b/>
          <w:bCs/>
          <w:sz w:val="28"/>
          <w:szCs w:val="28"/>
          <w:rtl/>
        </w:rPr>
        <w:t>גדול</w:t>
      </w:r>
      <w:r>
        <w:rPr>
          <w:rFonts w:hint="cs"/>
          <w:rtl/>
        </w:rPr>
        <w:t xml:space="preserve"> (העולה </w:t>
      </w:r>
      <w:r w:rsidRPr="00083C03">
        <w:rPr>
          <w:rFonts w:hint="cs"/>
          <w:b/>
          <w:bCs/>
          <w:sz w:val="28"/>
          <w:szCs w:val="28"/>
          <w:rtl/>
        </w:rPr>
        <w:t>נון</w:t>
      </w:r>
      <w:r>
        <w:rPr>
          <w:rFonts w:hint="cs"/>
          <w:rtl/>
        </w:rPr>
        <w:t>, כנ"ל) נאמר "</w:t>
      </w:r>
      <w:r>
        <w:rPr>
          <w:rtl/>
        </w:rPr>
        <w:t xml:space="preserve">מה דגים שבים כל הגדול </w:t>
      </w:r>
      <w:proofErr w:type="spellStart"/>
      <w:r>
        <w:rPr>
          <w:rtl/>
        </w:rPr>
        <w:t>מחבירו</w:t>
      </w:r>
      <w:proofErr w:type="spellEnd"/>
      <w:r>
        <w:rPr>
          <w:rtl/>
        </w:rPr>
        <w:t xml:space="preserve"> בולע את </w:t>
      </w:r>
      <w:proofErr w:type="spellStart"/>
      <w:r>
        <w:rPr>
          <w:rtl/>
        </w:rPr>
        <w:t>חבירו</w:t>
      </w:r>
      <w:proofErr w:type="spellEnd"/>
      <w:r>
        <w:rPr>
          <w:rFonts w:hint="cs"/>
          <w:rtl/>
        </w:rPr>
        <w:t>,</w:t>
      </w:r>
      <w:r>
        <w:rPr>
          <w:rtl/>
        </w:rPr>
        <w:t xml:space="preserve"> אף בני אדם אלמלא מוראה של מלכות כל הגדול </w:t>
      </w:r>
      <w:proofErr w:type="spellStart"/>
      <w:r>
        <w:rPr>
          <w:rtl/>
        </w:rPr>
        <w:t>מחבירו</w:t>
      </w:r>
      <w:proofErr w:type="spellEnd"/>
      <w:r>
        <w:rPr>
          <w:rtl/>
        </w:rPr>
        <w:t xml:space="preserve"> בולע את </w:t>
      </w:r>
      <w:proofErr w:type="spellStart"/>
      <w:r>
        <w:rPr>
          <w:rtl/>
        </w:rPr>
        <w:t>חבירו</w:t>
      </w:r>
      <w:proofErr w:type="spellEnd"/>
      <w:r>
        <w:rPr>
          <w:rFonts w:hint="cs"/>
          <w:rtl/>
        </w:rPr>
        <w:t>,</w:t>
      </w:r>
      <w:r>
        <w:rPr>
          <w:rtl/>
        </w:rPr>
        <w:t xml:space="preserve"> והיינו </w:t>
      </w:r>
      <w:proofErr w:type="spellStart"/>
      <w:r>
        <w:rPr>
          <w:rtl/>
        </w:rPr>
        <w:t>דתנן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 xml:space="preserve">רבי </w:t>
      </w:r>
      <w:proofErr w:type="spellStart"/>
      <w:r>
        <w:rPr>
          <w:rtl/>
        </w:rPr>
        <w:t>חנינא</w:t>
      </w:r>
      <w:proofErr w:type="spellEnd"/>
      <w:r>
        <w:rPr>
          <w:rtl/>
        </w:rPr>
        <w:t xml:space="preserve"> סגן </w:t>
      </w:r>
      <w:proofErr w:type="spellStart"/>
      <w:r>
        <w:rPr>
          <w:rtl/>
        </w:rPr>
        <w:t>הכהנים</w:t>
      </w:r>
      <w:proofErr w:type="spellEnd"/>
      <w:r>
        <w:rPr>
          <w:rtl/>
        </w:rPr>
        <w:t xml:space="preserve"> אומר הוי מתפלל בשלומה של מלכות שאלמלא מוראה של מלכות איש את רעהו חיים בלעו</w:t>
      </w:r>
      <w:r>
        <w:rPr>
          <w:rFonts w:hint="cs"/>
          <w:rtl/>
        </w:rPr>
        <w:t>'</w:t>
      </w:r>
      <w:r w:rsidRPr="008636EE">
        <w:rPr>
          <w:rStyle w:val="a3"/>
          <w:rtl/>
        </w:rPr>
        <w:endnoteReference w:id="11"/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 xml:space="preserve">. המלכות היא הכלה הרמוזה באות </w:t>
      </w:r>
      <w:r w:rsidRPr="008A1FB8">
        <w:rPr>
          <w:rFonts w:hint="cs"/>
          <w:b/>
          <w:bCs/>
          <w:sz w:val="28"/>
          <w:szCs w:val="28"/>
          <w:rtl/>
        </w:rPr>
        <w:t>ס</w:t>
      </w:r>
      <w:r>
        <w:rPr>
          <w:rFonts w:hint="cs"/>
          <w:rtl/>
        </w:rPr>
        <w:t xml:space="preserve"> (כאמור ביום </w:t>
      </w:r>
      <w:r w:rsidRPr="008A1FB8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למעשה בראשית, כאשר נבראה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מצלעו של אדם, "</w:t>
      </w:r>
      <w:proofErr w:type="spellStart"/>
      <w:r>
        <w:rPr>
          <w:rFonts w:hint="cs"/>
          <w:rtl/>
        </w:rPr>
        <w:t>וי</w:t>
      </w:r>
      <w:r w:rsidRPr="008A1FB8">
        <w:rPr>
          <w:rFonts w:hint="cs"/>
          <w:b/>
          <w:bCs/>
          <w:sz w:val="28"/>
          <w:szCs w:val="28"/>
          <w:rtl/>
        </w:rPr>
        <w:t>ס</w:t>
      </w:r>
      <w:r>
        <w:rPr>
          <w:rFonts w:hint="cs"/>
          <w:rtl/>
        </w:rPr>
        <w:t>גֹר</w:t>
      </w:r>
      <w:proofErr w:type="spellEnd"/>
      <w:r>
        <w:rPr>
          <w:rFonts w:hint="cs"/>
          <w:rtl/>
        </w:rPr>
        <w:t xml:space="preserve"> בשר תחתנה"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 xml:space="preserve">) ורבי </w:t>
      </w:r>
      <w:proofErr w:type="spellStart"/>
      <w:r>
        <w:rPr>
          <w:rFonts w:hint="cs"/>
          <w:rtl/>
        </w:rPr>
        <w:t>חנינא</w:t>
      </w:r>
      <w:proofErr w:type="spellEnd"/>
      <w:r>
        <w:rPr>
          <w:rFonts w:hint="cs"/>
          <w:rtl/>
        </w:rPr>
        <w:t xml:space="preserve"> </w:t>
      </w:r>
      <w:r w:rsidRPr="007120BA">
        <w:rPr>
          <w:rFonts w:hint="cs"/>
          <w:b/>
          <w:bCs/>
          <w:sz w:val="28"/>
          <w:szCs w:val="28"/>
          <w:rtl/>
        </w:rPr>
        <w:t>ס</w:t>
      </w:r>
      <w:r>
        <w:rPr>
          <w:rFonts w:hint="cs"/>
          <w:rtl/>
        </w:rPr>
        <w:t xml:space="preserve">גן </w:t>
      </w:r>
      <w:proofErr w:type="spellStart"/>
      <w:r>
        <w:rPr>
          <w:rFonts w:hint="cs"/>
          <w:rtl/>
        </w:rPr>
        <w:t>הכהנים</w:t>
      </w:r>
      <w:proofErr w:type="spellEnd"/>
      <w:r>
        <w:rPr>
          <w:rFonts w:hint="cs"/>
          <w:rtl/>
        </w:rPr>
        <w:t xml:space="preserve"> הוא הדורש להתפלל בשלומה. </w:t>
      </w:r>
    </w:p>
    <w:p w:rsidR="005F4A47" w:rsidRDefault="001F3DE8" w:rsidP="001F3DE8">
      <w:proofErr w:type="spellStart"/>
      <w:r>
        <w:rPr>
          <w:rFonts w:hint="cs"/>
          <w:rtl/>
        </w:rPr>
        <w:t>כחה</w:t>
      </w:r>
      <w:proofErr w:type="spellEnd"/>
      <w:r>
        <w:rPr>
          <w:rFonts w:hint="cs"/>
          <w:rtl/>
        </w:rPr>
        <w:t xml:space="preserve"> של הכלה לרסן את תכונת הבליעה התחרותית של בעלה, ה"</w:t>
      </w:r>
      <w:r w:rsidRPr="00343517">
        <w:rPr>
          <w:rFonts w:hint="cs"/>
          <w:b/>
          <w:bCs/>
          <w:sz w:val="28"/>
          <w:szCs w:val="28"/>
          <w:rtl/>
        </w:rPr>
        <w:t>דג</w:t>
      </w:r>
      <w:r>
        <w:rPr>
          <w:rFonts w:hint="cs"/>
          <w:rtl/>
        </w:rPr>
        <w:t xml:space="preserve"> </w:t>
      </w:r>
      <w:r w:rsidRPr="00343517">
        <w:rPr>
          <w:rFonts w:hint="cs"/>
          <w:b/>
          <w:bCs/>
          <w:sz w:val="28"/>
          <w:szCs w:val="28"/>
          <w:rtl/>
        </w:rPr>
        <w:t>גדול</w:t>
      </w:r>
      <w:r>
        <w:rPr>
          <w:rFonts w:hint="cs"/>
          <w:rtl/>
        </w:rPr>
        <w:t xml:space="preserve">" הרמוז באות </w:t>
      </w:r>
      <w:r w:rsidRPr="00343517">
        <w:rPr>
          <w:rFonts w:hint="cs"/>
          <w:b/>
          <w:bCs/>
          <w:sz w:val="28"/>
          <w:szCs w:val="28"/>
          <w:rtl/>
        </w:rPr>
        <w:t>נ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 xml:space="preserve">, לבל 'יבלע' אחרים. לעומת זאת, עבודתו של האיש לנתב את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הבליעה שלו לבחינת "וימן הוי' </w:t>
      </w:r>
      <w:r w:rsidRPr="000A5B5F">
        <w:rPr>
          <w:rFonts w:hint="cs"/>
          <w:b/>
          <w:bCs/>
          <w:sz w:val="28"/>
          <w:szCs w:val="28"/>
          <w:rtl/>
        </w:rPr>
        <w:t>דג</w:t>
      </w:r>
      <w:r>
        <w:rPr>
          <w:rFonts w:hint="cs"/>
          <w:rtl/>
        </w:rPr>
        <w:t xml:space="preserve"> </w:t>
      </w:r>
      <w:r w:rsidRPr="000A5B5F">
        <w:rPr>
          <w:rFonts w:hint="cs"/>
          <w:b/>
          <w:bCs/>
          <w:sz w:val="28"/>
          <w:szCs w:val="28"/>
          <w:rtl/>
        </w:rPr>
        <w:t>גדול</w:t>
      </w:r>
      <w:r>
        <w:rPr>
          <w:rFonts w:hint="cs"/>
          <w:rtl/>
        </w:rPr>
        <w:t xml:space="preserve"> לבלֹע את יונה"</w:t>
      </w:r>
      <w:r w:rsidRPr="008636EE">
        <w:rPr>
          <w:rStyle w:val="a3"/>
          <w:rtl/>
        </w:rPr>
        <w:endnoteReference w:id="15"/>
      </w:r>
      <w:r>
        <w:rPr>
          <w:rFonts w:hint="cs"/>
          <w:rtl/>
        </w:rPr>
        <w:t xml:space="preserve">. </w:t>
      </w:r>
      <w:r w:rsidRPr="00D91656">
        <w:rPr>
          <w:rStyle w:val="a4"/>
          <w:rFonts w:hint="cs"/>
          <w:rtl/>
        </w:rPr>
        <w:t>יונה</w:t>
      </w:r>
      <w:r>
        <w:rPr>
          <w:rFonts w:hint="cs"/>
          <w:rtl/>
        </w:rPr>
        <w:t xml:space="preserve"> לשון </w:t>
      </w:r>
      <w:r w:rsidRPr="00D91656">
        <w:rPr>
          <w:rStyle w:val="a4"/>
          <w:rFonts w:hint="cs"/>
          <w:rtl/>
        </w:rPr>
        <w:t>אונאה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(כבפסוק "חרב היונה"</w:t>
      </w:r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>) והאונאה החמורה ביותר היא "אונאת אשתו"</w:t>
      </w:r>
      <w:r w:rsidRPr="008636EE">
        <w:rPr>
          <w:rStyle w:val="a3"/>
          <w:rtl/>
        </w:rPr>
        <w:endnoteReference w:id="17"/>
      </w:r>
      <w:r>
        <w:rPr>
          <w:rFonts w:hint="cs"/>
          <w:rtl/>
        </w:rPr>
        <w:t xml:space="preserve">. על האיש להיות "דג גדול" הבולע את </w:t>
      </w:r>
      <w:proofErr w:type="spellStart"/>
      <w:r>
        <w:rPr>
          <w:rFonts w:hint="cs"/>
          <w:rtl/>
        </w:rPr>
        <w:t>נטיתו</w:t>
      </w:r>
      <w:proofErr w:type="spellEnd"/>
      <w:r>
        <w:rPr>
          <w:rFonts w:hint="cs"/>
          <w:rtl/>
        </w:rPr>
        <w:t xml:space="preserve"> לאונאת אשתו. אונאת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מפילה אותה למצב של "רגליה </w:t>
      </w:r>
      <w:proofErr w:type="spellStart"/>
      <w:r>
        <w:rPr>
          <w:rFonts w:hint="cs"/>
          <w:rtl/>
        </w:rPr>
        <w:t>י</w:t>
      </w:r>
      <w:r>
        <w:rPr>
          <w:rFonts w:hint="eastAsia"/>
          <w:rtl/>
        </w:rPr>
        <w:t>ֹ</w:t>
      </w:r>
      <w:r>
        <w:rPr>
          <w:rFonts w:hint="cs"/>
          <w:rtl/>
        </w:rPr>
        <w:t>רדות</w:t>
      </w:r>
      <w:proofErr w:type="spellEnd"/>
      <w:r>
        <w:rPr>
          <w:rFonts w:hint="cs"/>
          <w:rtl/>
        </w:rPr>
        <w:t xml:space="preserve"> מות"</w:t>
      </w:r>
      <w:r w:rsidRPr="008636EE">
        <w:rPr>
          <w:rStyle w:val="a3"/>
          <w:rtl/>
        </w:rPr>
        <w:endnoteReference w:id="18"/>
      </w:r>
      <w:r>
        <w:rPr>
          <w:rFonts w:hint="cs"/>
          <w:rtl/>
        </w:rPr>
        <w:t>, באשר דמעתה המצויה מסכנת את בעלה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 xml:space="preserve">, וכאשר משכיל האיש לבלוע את "חרב היונה" נמחית דמעתה המצויה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ומתקיים "בלע </w:t>
      </w:r>
      <w:proofErr w:type="spellStart"/>
      <w:r>
        <w:rPr>
          <w:rFonts w:hint="cs"/>
          <w:rtl/>
        </w:rPr>
        <w:t>המות</w:t>
      </w:r>
      <w:proofErr w:type="spellEnd"/>
      <w:r>
        <w:rPr>
          <w:rFonts w:hint="cs"/>
          <w:rtl/>
        </w:rPr>
        <w:t xml:space="preserve"> לנצח ומחה הוי'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 xml:space="preserve"> דמעה מעל כל פנים"</w:t>
      </w:r>
      <w:r w:rsidRPr="008636EE">
        <w:rPr>
          <w:rStyle w:val="a3"/>
          <w:rtl/>
        </w:rPr>
        <w:endnoteReference w:id="20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"ראה חיים עם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אשר אהבת"</w:t>
      </w:r>
      <w:r w:rsidRPr="008636EE">
        <w:rPr>
          <w:rStyle w:val="a3"/>
          <w:rtl/>
        </w:rPr>
        <w:endnoteReference w:id="21"/>
      </w:r>
      <w:r>
        <w:rPr>
          <w:rFonts w:hint="cs"/>
          <w:rtl/>
        </w:rPr>
        <w:t>.</w:t>
      </w:r>
      <w:bookmarkStart w:id="0" w:name="_GoBack"/>
      <w:bookmarkEnd w:id="0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264" w:rsidRDefault="00195264" w:rsidP="001F3DE8">
      <w:pPr>
        <w:spacing w:after="0" w:line="240" w:lineRule="auto"/>
      </w:pPr>
      <w:r>
        <w:separator/>
      </w:r>
    </w:p>
  </w:endnote>
  <w:endnote w:type="continuationSeparator" w:id="0">
    <w:p w:rsidR="00195264" w:rsidRDefault="00195264" w:rsidP="001F3DE8">
      <w:pPr>
        <w:spacing w:after="0" w:line="240" w:lineRule="auto"/>
      </w:pPr>
      <w:r>
        <w:continuationSeparator/>
      </w:r>
    </w:p>
  </w:endnote>
  <w:endnote w:id="1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כתובות ה, א.</w:t>
      </w:r>
    </w:p>
  </w:endnote>
  <w:endnote w:id="2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א,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.</w:t>
      </w:r>
    </w:p>
  </w:endnote>
  <w:endnote w:id="3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פסוק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4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כ, א </w:t>
      </w:r>
      <w:proofErr w:type="spellStart"/>
      <w:r>
        <w:rPr>
          <w:rFonts w:hint="cs"/>
          <w:rtl/>
        </w:rPr>
        <w:t>וש"נ</w:t>
      </w:r>
      <w:proofErr w:type="spellEnd"/>
      <w:r>
        <w:rPr>
          <w:rFonts w:hint="cs"/>
          <w:rtl/>
        </w:rPr>
        <w:t>.</w:t>
      </w:r>
    </w:p>
  </w:endnote>
  <w:endnote w:id="5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מח,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6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ש"עדיפא</w:t>
      </w:r>
      <w:proofErr w:type="spellEnd"/>
      <w:r>
        <w:rPr>
          <w:rFonts w:hint="cs"/>
          <w:rtl/>
        </w:rPr>
        <w:t xml:space="preserve"> ליה", כמבואר בכתובות שם (ובמקום אחר נתבאר באורך כי דווקא הבתולה שמעינה חתום זקוקה לשמירה מעין הרע).</w:t>
      </w:r>
    </w:p>
  </w:endnote>
  <w:endnote w:id="7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ג, ז.</w:t>
      </w:r>
    </w:p>
  </w:endnote>
  <w:endnote w:id="8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זהר ח"א מח, ב.</w:t>
      </w:r>
    </w:p>
  </w:endnote>
  <w:endnote w:id="9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במדבר ו, ד.</w:t>
      </w:r>
    </w:p>
  </w:endnote>
  <w:endnote w:id="10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במדבר רבה יא, ה.</w:t>
      </w:r>
    </w:p>
  </w:endnote>
  <w:endnote w:id="11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פ"ג מ"ב.</w:t>
      </w:r>
    </w:p>
  </w:endnote>
  <w:endnote w:id="12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ע"ז ד, א.</w:t>
      </w:r>
    </w:p>
  </w:endnote>
  <w:endnote w:id="13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 xml:space="preserve">. וראה בראשית רבה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ו ש-</w:t>
      </w:r>
      <w:r w:rsidRPr="008A1FB8">
        <w:rPr>
          <w:rFonts w:hint="cs"/>
          <w:b/>
          <w:bCs/>
          <w:sz w:val="24"/>
          <w:szCs w:val="24"/>
          <w:rtl/>
        </w:rPr>
        <w:t>ס</w:t>
      </w:r>
      <w:r>
        <w:rPr>
          <w:rFonts w:hint="cs"/>
          <w:rtl/>
        </w:rPr>
        <w:t xml:space="preserve"> זו נחשבת הראשונה בתורה והיא שייכת דווקא לבריאת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.</w:t>
      </w:r>
    </w:p>
  </w:endnote>
  <w:endnote w:id="14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בתורה הקודמת שהאיש הוא בסוד ה-</w:t>
      </w:r>
      <w:r w:rsidRPr="00343517">
        <w:rPr>
          <w:rFonts w:hint="cs"/>
          <w:b/>
          <w:bCs/>
          <w:sz w:val="24"/>
          <w:szCs w:val="24"/>
          <w:rtl/>
        </w:rPr>
        <w:t>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בסוד ה-</w:t>
      </w:r>
      <w:r w:rsidRPr="00343517">
        <w:rPr>
          <w:rFonts w:hint="cs"/>
          <w:b/>
          <w:bCs/>
          <w:sz w:val="24"/>
          <w:szCs w:val="24"/>
          <w:rtl/>
        </w:rPr>
        <w:t>ס</w:t>
      </w:r>
      <w:r>
        <w:rPr>
          <w:rFonts w:hint="cs"/>
          <w:rtl/>
        </w:rPr>
        <w:t>.</w:t>
      </w:r>
    </w:p>
  </w:endnote>
  <w:endnote w:id="15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יונה ב, א.</w:t>
      </w:r>
    </w:p>
  </w:endnote>
  <w:endnote w:id="16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ירמיה מו,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; נ,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 (ונתבאר בארוכה במבחר שעורי התבוננות </w:t>
      </w:r>
      <w:proofErr w:type="spellStart"/>
      <w:r>
        <w:rPr>
          <w:rFonts w:hint="cs"/>
          <w:rtl/>
        </w:rPr>
        <w:t>ח"ה</w:t>
      </w:r>
      <w:proofErr w:type="spellEnd"/>
      <w:r>
        <w:rPr>
          <w:rFonts w:hint="cs"/>
          <w:rtl/>
        </w:rPr>
        <w:t xml:space="preserve"> עמ' 15 ואילך) וראה גם בשער ג בתורה "יונתי </w:t>
      </w:r>
      <w:proofErr w:type="spellStart"/>
      <w:r>
        <w:rPr>
          <w:rFonts w:hint="cs"/>
          <w:rtl/>
        </w:rPr>
        <w:t>בחגוי</w:t>
      </w:r>
      <w:proofErr w:type="spellEnd"/>
      <w:r>
        <w:rPr>
          <w:rFonts w:hint="cs"/>
          <w:rtl/>
        </w:rPr>
        <w:t xml:space="preserve"> הסלע". </w:t>
      </w:r>
    </w:p>
  </w:endnote>
  <w:endnote w:id="17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בבא מציעא נט, א (וראה לעיל בשער א בתורה "אנה לידו ושמתי לך </w:t>
      </w:r>
      <w:r>
        <w:rPr>
          <w:rtl/>
        </w:rPr>
        <w:t>–</w:t>
      </w:r>
      <w:r>
        <w:rPr>
          <w:rFonts w:hint="cs"/>
          <w:rtl/>
        </w:rPr>
        <w:t xml:space="preserve"> תיקון האונאה" ובדברי אדמו"ר הזקן שצוטטו שם).</w:t>
      </w:r>
    </w:p>
  </w:endnote>
  <w:endnote w:id="18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ה, ה.</w:t>
      </w:r>
    </w:p>
  </w:endnote>
  <w:endnote w:id="19">
    <w:p w:rsidR="001F3DE8" w:rsidRDefault="001F3DE8" w:rsidP="001F3DE8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כתובות סב, ב: "</w:t>
      </w:r>
      <w:r>
        <w:rPr>
          <w:rtl/>
        </w:rPr>
        <w:t xml:space="preserve">רב </w:t>
      </w:r>
      <w:proofErr w:type="spellStart"/>
      <w:r>
        <w:rPr>
          <w:rtl/>
        </w:rPr>
        <w:t>רחומי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הוה</w:t>
      </w:r>
      <w:proofErr w:type="spellEnd"/>
      <w:r>
        <w:rPr>
          <w:rtl/>
        </w:rPr>
        <w:t xml:space="preserve"> שכיח </w:t>
      </w:r>
      <w:proofErr w:type="spellStart"/>
      <w:r>
        <w:rPr>
          <w:rtl/>
        </w:rPr>
        <w:t>קמיה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דרבא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במחוזא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הוה</w:t>
      </w:r>
      <w:proofErr w:type="spellEnd"/>
      <w:r>
        <w:rPr>
          <w:rtl/>
        </w:rPr>
        <w:t xml:space="preserve"> רגיל דהוה אתי </w:t>
      </w:r>
      <w:proofErr w:type="spellStart"/>
      <w:r>
        <w:rPr>
          <w:rtl/>
        </w:rPr>
        <w:t>לביתיה</w:t>
      </w:r>
      <w:proofErr w:type="spellEnd"/>
      <w:r>
        <w:rPr>
          <w:rtl/>
        </w:rPr>
        <w:t xml:space="preserve"> כל מעלי יומא </w:t>
      </w:r>
      <w:proofErr w:type="spellStart"/>
      <w:r>
        <w:rPr>
          <w:rtl/>
        </w:rPr>
        <w:t>דכיפורי</w:t>
      </w:r>
      <w:proofErr w:type="spellEnd"/>
      <w:r>
        <w:rPr>
          <w:rtl/>
        </w:rPr>
        <w:t xml:space="preserve"> יומא חד משכתיה </w:t>
      </w:r>
      <w:proofErr w:type="spellStart"/>
      <w:r>
        <w:rPr>
          <w:rtl/>
        </w:rPr>
        <w:t>שמעתא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מסכיא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דביתהו</w:t>
      </w:r>
      <w:proofErr w:type="spellEnd"/>
      <w:r>
        <w:rPr>
          <w:rtl/>
        </w:rPr>
        <w:t xml:space="preserve"> השתא אתי השתא אתי לא אתא חלש דעתה </w:t>
      </w:r>
      <w:proofErr w:type="spellStart"/>
      <w:r>
        <w:rPr>
          <w:rtl/>
        </w:rPr>
        <w:t>אחית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דמעתא</w:t>
      </w:r>
      <w:proofErr w:type="spellEnd"/>
      <w:r>
        <w:rPr>
          <w:rtl/>
        </w:rPr>
        <w:t xml:space="preserve"> מעינה </w:t>
      </w:r>
      <w:proofErr w:type="spellStart"/>
      <w:r>
        <w:rPr>
          <w:rtl/>
        </w:rPr>
        <w:t>הוה</w:t>
      </w:r>
      <w:proofErr w:type="spellEnd"/>
      <w:r>
        <w:rPr>
          <w:rtl/>
        </w:rPr>
        <w:t xml:space="preserve"> יתיב באיגרא אפחית איגרא מתותיה ונח </w:t>
      </w:r>
      <w:proofErr w:type="spellStart"/>
      <w:r>
        <w:rPr>
          <w:rtl/>
        </w:rPr>
        <w:t>נפשיה</w:t>
      </w:r>
      <w:proofErr w:type="spellEnd"/>
      <w:r>
        <w:rPr>
          <w:rFonts w:hint="cs"/>
          <w:rtl/>
        </w:rPr>
        <w:t>".</w:t>
      </w:r>
    </w:p>
  </w:endnote>
  <w:endnote w:id="20">
    <w:p w:rsidR="001F3DE8" w:rsidRDefault="001F3DE8" w:rsidP="001F3DE8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כה, ח.</w:t>
      </w:r>
    </w:p>
  </w:endnote>
  <w:endnote w:id="21">
    <w:p w:rsidR="001F3DE8" w:rsidRDefault="001F3DE8" w:rsidP="001F3DE8">
      <w:pPr>
        <w:pStyle w:val="a5"/>
      </w:pPr>
      <w:r>
        <w:rPr>
          <w:rFonts w:hint="cs"/>
          <w:rtl/>
        </w:rPr>
        <w:tab/>
      </w:r>
      <w:r w:rsidRPr="00944A81">
        <w:endnoteRef/>
      </w:r>
      <w:r>
        <w:rPr>
          <w:rFonts w:hint="cs"/>
          <w:rtl/>
        </w:rPr>
        <w:t>.</w:t>
      </w:r>
      <w:r>
        <w:rPr>
          <w:rFonts w:hint="cs"/>
          <w:rtl/>
        </w:rPr>
        <w:tab/>
        <w:t>קהלת ט, ט (וכנ"ל בתורה "נס הנישואין" כי מגמת חיי הנישואין היא להיות חיים נצחיים).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264" w:rsidRDefault="00195264" w:rsidP="001F3DE8">
      <w:pPr>
        <w:spacing w:after="0" w:line="240" w:lineRule="auto"/>
      </w:pPr>
      <w:r>
        <w:separator/>
      </w:r>
    </w:p>
  </w:footnote>
  <w:footnote w:type="continuationSeparator" w:id="0">
    <w:p w:rsidR="00195264" w:rsidRDefault="00195264" w:rsidP="001F3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4A"/>
    <w:rsid w:val="00061E65"/>
    <w:rsid w:val="00195264"/>
    <w:rsid w:val="001F3DE8"/>
    <w:rsid w:val="00AC2310"/>
    <w:rsid w:val="00C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F3DE8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F3DE8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F3DE8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1F3DE8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1F3DE8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1F3DE8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1F3DE8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1F3DE8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1F3DE8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F3DE8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F3DE8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F3DE8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1F3DE8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1F3DE8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1F3DE8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1F3DE8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1F3DE8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1F3DE8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2017-08-16T10:54:00Z</dcterms:created>
  <dcterms:modified xsi:type="dcterms:W3CDTF">2017-08-16T10:54:00Z</dcterms:modified>
</cp:coreProperties>
</file>