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B7" w:rsidRDefault="008323B7" w:rsidP="008323B7">
      <w:pPr>
        <w:pStyle w:val="2"/>
        <w:rPr>
          <w:rtl/>
        </w:rPr>
      </w:pPr>
      <w:bookmarkStart w:id="0" w:name="_Toc302128598"/>
      <w:bookmarkStart w:id="1" w:name="_Ref302128844"/>
      <w:r>
        <w:rPr>
          <w:rtl/>
        </w:rPr>
        <w:t>לאסתכלא ביקרא דמלכא</w:t>
      </w:r>
      <w:bookmarkEnd w:id="0"/>
      <w:bookmarkEnd w:id="1"/>
    </w:p>
    <w:p w:rsidR="008323B7" w:rsidRPr="002E2CC9" w:rsidRDefault="008323B7" w:rsidP="008323B7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2E2CC9">
        <w:rPr>
          <w:rStyle w:val="a9"/>
          <w:rtl/>
        </w:rPr>
        <w:t>כ</w:t>
      </w:r>
    </w:p>
    <w:p w:rsidR="008323B7" w:rsidRPr="00860278" w:rsidRDefault="008323B7" w:rsidP="008323B7">
      <w:pPr>
        <w:rPr>
          <w:sz w:val="30"/>
          <w:rtl/>
        </w:rPr>
      </w:pPr>
      <w:r w:rsidRPr="00860278">
        <w:rPr>
          <w:sz w:val="30"/>
          <w:rtl/>
        </w:rPr>
        <w:t xml:space="preserve">ל </w:t>
      </w:r>
      <w:r w:rsidRPr="00D91656">
        <w:rPr>
          <w:rStyle w:val="a4"/>
          <w:rtl/>
        </w:rPr>
        <w:t>נישואין</w:t>
      </w:r>
      <w:r w:rsidRPr="00860278">
        <w:rPr>
          <w:sz w:val="30"/>
          <w:rtl/>
        </w:rPr>
        <w:t xml:space="preserve"> הם גם</w:t>
      </w:r>
      <w:r w:rsidRPr="00D91656">
        <w:rPr>
          <w:rStyle w:val="a4"/>
          <w:rtl/>
        </w:rPr>
        <w:t xml:space="preserve"> נשיאת</w:t>
      </w:r>
      <w:r w:rsidRPr="00860278">
        <w:rPr>
          <w:sz w:val="30"/>
          <w:rtl/>
        </w:rPr>
        <w:t xml:space="preserve"> הפכים – חיבור בין האופי הגברי והנשי </w:t>
      </w:r>
      <w:proofErr w:type="spellStart"/>
      <w:r w:rsidRPr="00860278">
        <w:rPr>
          <w:sz w:val="30"/>
          <w:rtl/>
        </w:rPr>
        <w:t>ההפכיים</w:t>
      </w:r>
      <w:proofErr w:type="spellEnd"/>
      <w:r w:rsidRPr="00860278">
        <w:rPr>
          <w:sz w:val="30"/>
          <w:rtl/>
        </w:rPr>
        <w:t xml:space="preserve"> בכלל, וחיבור בין אופיים השונה של כל בני זוג בפרט.</w:t>
      </w:r>
    </w:p>
    <w:p w:rsidR="008323B7" w:rsidRPr="00860278" w:rsidRDefault="008323B7" w:rsidP="008323B7">
      <w:pPr>
        <w:rPr>
          <w:rFonts w:hint="cs"/>
          <w:sz w:val="30"/>
          <w:rtl/>
        </w:rPr>
      </w:pPr>
      <w:r w:rsidRPr="00860278">
        <w:rPr>
          <w:sz w:val="30"/>
          <w:rtl/>
        </w:rPr>
        <w:t xml:space="preserve">חיבור הפכים </w:t>
      </w:r>
      <w:r w:rsidRPr="00860278">
        <w:rPr>
          <w:rFonts w:hint="cs"/>
          <w:sz w:val="30"/>
          <w:rtl/>
        </w:rPr>
        <w:t xml:space="preserve">אפשרי על ידי </w:t>
      </w:r>
      <w:proofErr w:type="spellStart"/>
      <w:r w:rsidRPr="00860278">
        <w:rPr>
          <w:rFonts w:hint="cs"/>
          <w:sz w:val="30"/>
          <w:rtl/>
        </w:rPr>
        <w:t>התכללותם</w:t>
      </w:r>
      <w:proofErr w:type="spellEnd"/>
      <w:r w:rsidRPr="00860278">
        <w:rPr>
          <w:rFonts w:hint="cs"/>
          <w:sz w:val="30"/>
          <w:rtl/>
        </w:rPr>
        <w:t xml:space="preserve"> זה</w:t>
      </w:r>
      <w:r w:rsidRPr="00860278">
        <w:rPr>
          <w:sz w:val="30"/>
          <w:rtl/>
        </w:rPr>
        <w:t xml:space="preserve"> בזה, </w:t>
      </w:r>
      <w:r w:rsidRPr="00860278">
        <w:rPr>
          <w:rFonts w:hint="cs"/>
          <w:sz w:val="30"/>
          <w:rtl/>
        </w:rPr>
        <w:t xml:space="preserve">כאשר </w:t>
      </w:r>
      <w:r w:rsidRPr="00860278">
        <w:rPr>
          <w:sz w:val="30"/>
          <w:rtl/>
        </w:rPr>
        <w:t xml:space="preserve">כל אחד מוצא בעצמו גם את </w:t>
      </w:r>
      <w:proofErr w:type="spellStart"/>
      <w:r w:rsidRPr="00860278">
        <w:rPr>
          <w:sz w:val="30"/>
          <w:rtl/>
        </w:rPr>
        <w:t>קוי</w:t>
      </w:r>
      <w:proofErr w:type="spellEnd"/>
      <w:r w:rsidRPr="00860278">
        <w:rPr>
          <w:sz w:val="30"/>
          <w:rtl/>
        </w:rPr>
        <w:t xml:space="preserve"> האופי של השני. קו אופי של הזולת בתוכי וקו אופי שלי בתוכו </w:t>
      </w:r>
      <w:proofErr w:type="spellStart"/>
      <w:r w:rsidRPr="00860278">
        <w:rPr>
          <w:sz w:val="30"/>
          <w:rtl/>
        </w:rPr>
        <w:t>מהוים</w:t>
      </w:r>
      <w:proofErr w:type="spellEnd"/>
      <w:r w:rsidRPr="00860278">
        <w:rPr>
          <w:sz w:val="30"/>
          <w:rtl/>
        </w:rPr>
        <w:t xml:space="preserve"> </w:t>
      </w:r>
      <w:r w:rsidRPr="00860278">
        <w:rPr>
          <w:rFonts w:hint="cs"/>
          <w:sz w:val="30"/>
          <w:rtl/>
        </w:rPr>
        <w:t xml:space="preserve">מכנה משותף, </w:t>
      </w:r>
      <w:r w:rsidRPr="00860278">
        <w:rPr>
          <w:sz w:val="30"/>
          <w:rtl/>
        </w:rPr>
        <w:t xml:space="preserve">נקודות מגע וחיבור. </w:t>
      </w:r>
      <w:r w:rsidRPr="00860278">
        <w:rPr>
          <w:rFonts w:hint="cs"/>
          <w:sz w:val="30"/>
          <w:rtl/>
        </w:rPr>
        <w:t xml:space="preserve">כך </w:t>
      </w:r>
      <w:r w:rsidRPr="00860278">
        <w:rPr>
          <w:sz w:val="30"/>
          <w:rtl/>
        </w:rPr>
        <w:t xml:space="preserve">בנישואין, </w:t>
      </w:r>
      <w:proofErr w:type="spellStart"/>
      <w:r w:rsidRPr="00860278">
        <w:rPr>
          <w:sz w:val="30"/>
          <w:rtl/>
        </w:rPr>
        <w:t>היחוד</w:t>
      </w:r>
      <w:proofErr w:type="spellEnd"/>
      <w:r w:rsidRPr="00860278">
        <w:rPr>
          <w:sz w:val="30"/>
          <w:rtl/>
        </w:rPr>
        <w:t xml:space="preserve"> הוא בין "</w:t>
      </w:r>
      <w:proofErr w:type="spellStart"/>
      <w:r w:rsidRPr="00860278">
        <w:rPr>
          <w:sz w:val="30"/>
          <w:rtl/>
        </w:rPr>
        <w:t>האשה</w:t>
      </w:r>
      <w:proofErr w:type="spellEnd"/>
      <w:r w:rsidRPr="00860278">
        <w:rPr>
          <w:sz w:val="30"/>
          <w:rtl/>
        </w:rPr>
        <w:t xml:space="preserve"> שבאיש" ו"האיש שבאשה" (ובלשון הקבלה</w:t>
      </w:r>
      <w:r w:rsidRPr="008636EE">
        <w:rPr>
          <w:rStyle w:val="a3"/>
          <w:rtl/>
        </w:rPr>
        <w:endnoteReference w:id="1"/>
      </w:r>
      <w:r w:rsidRPr="00860278">
        <w:rPr>
          <w:sz w:val="30"/>
          <w:rtl/>
        </w:rPr>
        <w:t>: בין ה</w:t>
      </w:r>
      <w:r w:rsidRPr="00860278">
        <w:rPr>
          <w:rFonts w:hint="cs"/>
          <w:sz w:val="30"/>
          <w:rtl/>
        </w:rPr>
        <w:t>-</w:t>
      </w:r>
      <w:r w:rsidRPr="00860278">
        <w:rPr>
          <w:b/>
          <w:bCs/>
          <w:sz w:val="32"/>
          <w:szCs w:val="28"/>
          <w:rtl/>
        </w:rPr>
        <w:t>בן</w:t>
      </w:r>
      <w:r w:rsidRPr="00860278">
        <w:rPr>
          <w:sz w:val="30"/>
          <w:rtl/>
        </w:rPr>
        <w:t xml:space="preserve"> ד</w:t>
      </w:r>
      <w:r w:rsidRPr="00860278">
        <w:rPr>
          <w:rFonts w:hint="cs"/>
          <w:sz w:val="30"/>
          <w:rtl/>
        </w:rPr>
        <w:t>-</w:t>
      </w:r>
      <w:r w:rsidRPr="00860278">
        <w:rPr>
          <w:b/>
          <w:bCs/>
          <w:sz w:val="32"/>
          <w:szCs w:val="28"/>
          <w:rtl/>
        </w:rPr>
        <w:t>מה</w:t>
      </w:r>
      <w:r w:rsidRPr="00860278">
        <w:rPr>
          <w:sz w:val="30"/>
          <w:rtl/>
        </w:rPr>
        <w:t xml:space="preserve"> ל</w:t>
      </w:r>
      <w:r w:rsidRPr="00860278">
        <w:rPr>
          <w:rFonts w:hint="cs"/>
          <w:sz w:val="30"/>
          <w:rtl/>
        </w:rPr>
        <w:t>-</w:t>
      </w:r>
      <w:r w:rsidRPr="00860278">
        <w:rPr>
          <w:b/>
          <w:bCs/>
          <w:sz w:val="32"/>
          <w:szCs w:val="28"/>
          <w:rtl/>
        </w:rPr>
        <w:t>מה</w:t>
      </w:r>
      <w:r w:rsidRPr="00860278">
        <w:rPr>
          <w:sz w:val="30"/>
          <w:rtl/>
        </w:rPr>
        <w:t xml:space="preserve"> ד</w:t>
      </w:r>
      <w:r w:rsidRPr="00860278">
        <w:rPr>
          <w:rFonts w:hint="cs"/>
          <w:sz w:val="30"/>
          <w:rtl/>
        </w:rPr>
        <w:t>-</w:t>
      </w:r>
      <w:r w:rsidRPr="00860278">
        <w:rPr>
          <w:b/>
          <w:bCs/>
          <w:sz w:val="32"/>
          <w:szCs w:val="28"/>
          <w:rtl/>
        </w:rPr>
        <w:t>בן</w:t>
      </w:r>
      <w:r w:rsidRPr="00860278">
        <w:rPr>
          <w:sz w:val="30"/>
          <w:rtl/>
        </w:rPr>
        <w:t>)</w:t>
      </w:r>
      <w:r w:rsidRPr="00860278">
        <w:rPr>
          <w:rFonts w:hint="cs"/>
          <w:sz w:val="30"/>
          <w:rtl/>
        </w:rPr>
        <w:t>,</w:t>
      </w:r>
      <w:r w:rsidRPr="00860278">
        <w:rPr>
          <w:sz w:val="30"/>
          <w:rtl/>
        </w:rPr>
        <w:t xml:space="preserve"> כשכל אחד חושף בעצמו נקודת הזדהות עם זולתו, ובכך מתחבר עמו באמת. משום כך, נישואין מותנים בבגרות נפשית</w:t>
      </w:r>
      <w:r w:rsidRPr="00860278">
        <w:rPr>
          <w:rFonts w:hint="cs"/>
          <w:sz w:val="30"/>
          <w:rtl/>
        </w:rPr>
        <w:t>,</w:t>
      </w:r>
      <w:r w:rsidRPr="00860278">
        <w:rPr>
          <w:sz w:val="30"/>
          <w:rtl/>
        </w:rPr>
        <w:t xml:space="preserve"> </w:t>
      </w:r>
      <w:r w:rsidRPr="00860278">
        <w:rPr>
          <w:rFonts w:hint="cs"/>
          <w:sz w:val="30"/>
          <w:rtl/>
        </w:rPr>
        <w:t>ש</w:t>
      </w:r>
      <w:r w:rsidRPr="00860278">
        <w:rPr>
          <w:sz w:val="30"/>
          <w:rtl/>
        </w:rPr>
        <w:t xml:space="preserve">משמעה התפתחות </w:t>
      </w:r>
      <w:proofErr w:type="spellStart"/>
      <w:r w:rsidRPr="00860278">
        <w:rPr>
          <w:sz w:val="30"/>
          <w:rtl/>
        </w:rPr>
        <w:t>והתפרטות</w:t>
      </w:r>
      <w:proofErr w:type="spellEnd"/>
      <w:r w:rsidRPr="00860278">
        <w:rPr>
          <w:sz w:val="30"/>
          <w:rtl/>
        </w:rPr>
        <w:t xml:space="preserve"> האופי, עד ליכולת הזדהות גם עם </w:t>
      </w:r>
      <w:proofErr w:type="spellStart"/>
      <w:r w:rsidRPr="00860278">
        <w:rPr>
          <w:sz w:val="30"/>
          <w:rtl/>
        </w:rPr>
        <w:t>קוי</w:t>
      </w:r>
      <w:proofErr w:type="spellEnd"/>
      <w:r w:rsidRPr="00860278">
        <w:rPr>
          <w:sz w:val="30"/>
          <w:rtl/>
        </w:rPr>
        <w:t xml:space="preserve"> אופי הפוכים מהאופי הבסיסי</w:t>
      </w:r>
      <w:r w:rsidRPr="00860278">
        <w:rPr>
          <w:rFonts w:hint="cs"/>
          <w:sz w:val="30"/>
          <w:rtl/>
        </w:rPr>
        <w:t xml:space="preserve"> (ומי שהתפרט-</w:t>
      </w:r>
      <w:r w:rsidRPr="00D91656">
        <w:rPr>
          <w:rStyle w:val="a4"/>
          <w:rFonts w:hint="cs"/>
          <w:rtl/>
        </w:rPr>
        <w:t>התפרק</w:t>
      </w:r>
      <w:r w:rsidRPr="00860278">
        <w:rPr>
          <w:rFonts w:hint="cs"/>
          <w:sz w:val="30"/>
          <w:rtl/>
        </w:rPr>
        <w:t xml:space="preserve"> מספיק "הגיע </w:t>
      </w:r>
      <w:r w:rsidRPr="00D91656">
        <w:rPr>
          <w:rStyle w:val="a4"/>
          <w:rFonts w:hint="cs"/>
          <w:rtl/>
        </w:rPr>
        <w:t>לפרקו</w:t>
      </w:r>
      <w:r w:rsidRPr="00860278">
        <w:rPr>
          <w:rFonts w:hint="cs"/>
          <w:sz w:val="30"/>
          <w:rtl/>
        </w:rPr>
        <w:t>" והוא בשל להתחתן</w:t>
      </w:r>
      <w:r w:rsidRPr="008636EE">
        <w:rPr>
          <w:rStyle w:val="a3"/>
          <w:rtl/>
        </w:rPr>
        <w:endnoteReference w:id="2"/>
      </w:r>
      <w:r w:rsidRPr="00860278">
        <w:rPr>
          <w:rFonts w:hint="cs"/>
          <w:sz w:val="30"/>
          <w:rtl/>
        </w:rPr>
        <w:t>).</w:t>
      </w:r>
    </w:p>
    <w:p w:rsidR="008323B7" w:rsidRPr="00860278" w:rsidRDefault="008323B7" w:rsidP="008323B7">
      <w:pPr>
        <w:rPr>
          <w:rFonts w:hint="cs"/>
          <w:sz w:val="30"/>
          <w:rtl/>
        </w:rPr>
      </w:pPr>
      <w:r w:rsidRPr="00860278">
        <w:rPr>
          <w:rFonts w:hint="cs"/>
          <w:sz w:val="30"/>
          <w:rtl/>
        </w:rPr>
        <w:t xml:space="preserve">חשוב להדגיש כי המדובר כאן הוא </w:t>
      </w:r>
      <w:proofErr w:type="spellStart"/>
      <w:r w:rsidRPr="00860278">
        <w:rPr>
          <w:rFonts w:hint="cs"/>
          <w:sz w:val="30"/>
          <w:rtl/>
        </w:rPr>
        <w:t>בהתכללות</w:t>
      </w:r>
      <w:proofErr w:type="spellEnd"/>
      <w:r w:rsidRPr="00860278">
        <w:rPr>
          <w:rFonts w:hint="cs"/>
          <w:sz w:val="30"/>
          <w:rtl/>
        </w:rPr>
        <w:t xml:space="preserve"> אמת, שהיא מתכונות היסוד של עולם התיקון</w:t>
      </w:r>
      <w:r w:rsidRPr="008636EE">
        <w:rPr>
          <w:rStyle w:val="a3"/>
          <w:rtl/>
        </w:rPr>
        <w:endnoteReference w:id="3"/>
      </w:r>
      <w:r w:rsidRPr="00860278">
        <w:rPr>
          <w:rFonts w:hint="cs"/>
          <w:sz w:val="30"/>
          <w:rtl/>
        </w:rPr>
        <w:t xml:space="preserve"> (בעוד שהרווקות שייכת לעולם </w:t>
      </w:r>
      <w:proofErr w:type="spellStart"/>
      <w:r w:rsidRPr="00860278">
        <w:rPr>
          <w:rFonts w:hint="cs"/>
          <w:sz w:val="30"/>
          <w:rtl/>
        </w:rPr>
        <w:t>התהו</w:t>
      </w:r>
      <w:proofErr w:type="spellEnd"/>
      <w:r w:rsidRPr="008636EE">
        <w:rPr>
          <w:rStyle w:val="a3"/>
          <w:rtl/>
        </w:rPr>
        <w:endnoteReference w:id="4"/>
      </w:r>
      <w:r w:rsidRPr="00860278">
        <w:rPr>
          <w:rFonts w:hint="cs"/>
          <w:sz w:val="30"/>
          <w:rtl/>
        </w:rPr>
        <w:t xml:space="preserve">). אם אין כל </w:t>
      </w:r>
      <w:proofErr w:type="spellStart"/>
      <w:r w:rsidRPr="00860278">
        <w:rPr>
          <w:rFonts w:hint="cs"/>
          <w:sz w:val="30"/>
          <w:rtl/>
        </w:rPr>
        <w:t>התכללות</w:t>
      </w:r>
      <w:proofErr w:type="spellEnd"/>
      <w:r w:rsidRPr="00860278">
        <w:rPr>
          <w:rFonts w:hint="cs"/>
          <w:sz w:val="30"/>
          <w:rtl/>
        </w:rPr>
        <w:t xml:space="preserve"> הנישואין מבוססים בעצם על אינטרס משותף ונקודות קשר חיצוניות בלבד ("אהבה שהיא תלויה בדבר"</w:t>
      </w:r>
      <w:r w:rsidRPr="008636EE">
        <w:rPr>
          <w:rStyle w:val="a3"/>
          <w:rtl/>
        </w:rPr>
        <w:endnoteReference w:id="5"/>
      </w:r>
      <w:r w:rsidRPr="00860278">
        <w:rPr>
          <w:rFonts w:hint="cs"/>
          <w:sz w:val="30"/>
          <w:rtl/>
        </w:rPr>
        <w:t xml:space="preserve">). </w:t>
      </w:r>
      <w:proofErr w:type="spellStart"/>
      <w:r w:rsidRPr="00860278">
        <w:rPr>
          <w:rFonts w:hint="cs"/>
          <w:sz w:val="30"/>
          <w:rtl/>
        </w:rPr>
        <w:t>התכללות</w:t>
      </w:r>
      <w:proofErr w:type="spellEnd"/>
      <w:r w:rsidRPr="00860278">
        <w:rPr>
          <w:rFonts w:hint="cs"/>
          <w:sz w:val="30"/>
          <w:rtl/>
        </w:rPr>
        <w:t xml:space="preserve"> פירושה שיש מציאה אמתית של הזולת בתוכי, הזדהות אמתית עם בן הזוג. אף על פי כן, גם </w:t>
      </w:r>
      <w:proofErr w:type="spellStart"/>
      <w:r w:rsidRPr="00860278">
        <w:rPr>
          <w:rFonts w:hint="cs"/>
          <w:sz w:val="30"/>
          <w:rtl/>
        </w:rPr>
        <w:t>בהתכללות</w:t>
      </w:r>
      <w:proofErr w:type="spellEnd"/>
      <w:r w:rsidRPr="00860278">
        <w:rPr>
          <w:rFonts w:hint="cs"/>
          <w:sz w:val="30"/>
          <w:rtl/>
        </w:rPr>
        <w:t xml:space="preserve"> האמתית המתוארת כאן יש חסרון: </w:t>
      </w:r>
      <w:proofErr w:type="spellStart"/>
      <w:r w:rsidRPr="00860278">
        <w:rPr>
          <w:rFonts w:hint="cs"/>
          <w:sz w:val="30"/>
          <w:rtl/>
        </w:rPr>
        <w:t>ההתכללות</w:t>
      </w:r>
      <w:proofErr w:type="spellEnd"/>
      <w:r w:rsidRPr="00860278">
        <w:rPr>
          <w:rFonts w:hint="cs"/>
          <w:sz w:val="30"/>
          <w:rtl/>
        </w:rPr>
        <w:t xml:space="preserve"> 'מחלישה' את האופי המקורי של כל צד</w:t>
      </w:r>
      <w:bookmarkStart w:id="2" w:name="_Ref301906569"/>
      <w:r w:rsidRPr="008636EE">
        <w:rPr>
          <w:rStyle w:val="a3"/>
          <w:rtl/>
        </w:rPr>
        <w:endnoteReference w:id="6"/>
      </w:r>
      <w:bookmarkEnd w:id="2"/>
      <w:r w:rsidRPr="00860278">
        <w:rPr>
          <w:rFonts w:hint="cs"/>
          <w:sz w:val="30"/>
          <w:rtl/>
        </w:rPr>
        <w:t xml:space="preserve">, כאשר טבע </w:t>
      </w:r>
      <w:proofErr w:type="spellStart"/>
      <w:r w:rsidRPr="00860278">
        <w:rPr>
          <w:rFonts w:hint="cs"/>
          <w:sz w:val="30"/>
          <w:rtl/>
        </w:rPr>
        <w:t>התהו</w:t>
      </w:r>
      <w:proofErr w:type="spellEnd"/>
      <w:r w:rsidRPr="00860278">
        <w:rPr>
          <w:rFonts w:hint="cs"/>
          <w:sz w:val="30"/>
          <w:rtl/>
        </w:rPr>
        <w:t xml:space="preserve"> ה"קשה כארז" נחלש ומפנה את מקומו לטבע התיקון ה"רך כקנה"</w:t>
      </w:r>
      <w:r w:rsidRPr="008636EE">
        <w:rPr>
          <w:rStyle w:val="a3"/>
          <w:rtl/>
        </w:rPr>
        <w:endnoteReference w:id="7"/>
      </w:r>
      <w:r w:rsidRPr="00860278">
        <w:rPr>
          <w:rFonts w:hint="cs"/>
          <w:sz w:val="30"/>
          <w:rtl/>
        </w:rPr>
        <w:t xml:space="preserve">. החלשה של הטבע המקורי מאפשרת את </w:t>
      </w:r>
      <w:proofErr w:type="spellStart"/>
      <w:r w:rsidRPr="00860278">
        <w:rPr>
          <w:rFonts w:hint="cs"/>
          <w:sz w:val="30"/>
          <w:rtl/>
        </w:rPr>
        <w:t>היחוד</w:t>
      </w:r>
      <w:proofErr w:type="spellEnd"/>
      <w:r w:rsidRPr="00860278">
        <w:rPr>
          <w:rFonts w:hint="cs"/>
          <w:sz w:val="30"/>
          <w:rtl/>
        </w:rPr>
        <w:t>, אך עוצמת הטבע המקורי חסרה בתוך הקשר. "האיש שבאיש" ו"האשה שבאשה", שהם האופי הבסיסי, נחלשים ומשתתפים ביחוד 'מרחוק', בלי לתת את כל כולם לקשר.</w:t>
      </w:r>
    </w:p>
    <w:p w:rsidR="008323B7" w:rsidRPr="00860278" w:rsidRDefault="008323B7" w:rsidP="008323B7">
      <w:pPr>
        <w:rPr>
          <w:rFonts w:hint="cs"/>
          <w:sz w:val="30"/>
          <w:rtl/>
        </w:rPr>
      </w:pPr>
      <w:r w:rsidRPr="00860278">
        <w:rPr>
          <w:sz w:val="30"/>
          <w:rtl/>
        </w:rPr>
        <w:t xml:space="preserve">אכן, </w:t>
      </w:r>
      <w:r w:rsidRPr="00860278">
        <w:rPr>
          <w:rFonts w:hint="cs"/>
          <w:sz w:val="30"/>
          <w:rtl/>
        </w:rPr>
        <w:t>מבואר</w:t>
      </w:r>
      <w:r w:rsidRPr="00A3735D">
        <w:rPr>
          <w:rStyle w:val="a7"/>
          <w:rtl/>
        </w:rPr>
        <w:fldChar w:fldCharType="begin"/>
      </w:r>
      <w:r w:rsidRPr="00A3735D">
        <w:rPr>
          <w:rStyle w:val="a7"/>
          <w:rtl/>
        </w:rPr>
        <w:instrText xml:space="preserve"> </w:instrText>
      </w:r>
      <w:r w:rsidRPr="00A3735D">
        <w:rPr>
          <w:rStyle w:val="a7"/>
          <w:rFonts w:hint="cs"/>
        </w:rPr>
        <w:instrText>NOTEREF</w:instrText>
      </w:r>
      <w:r w:rsidRPr="00A3735D">
        <w:rPr>
          <w:rStyle w:val="a7"/>
          <w:rFonts w:hint="cs"/>
          <w:rtl/>
        </w:rPr>
        <w:instrText xml:space="preserve"> _</w:instrText>
      </w:r>
      <w:r w:rsidRPr="00A3735D">
        <w:rPr>
          <w:rStyle w:val="a7"/>
          <w:rFonts w:hint="cs"/>
        </w:rPr>
        <w:instrText>Ref301906569 \h</w:instrText>
      </w:r>
      <w:r w:rsidRPr="00A3735D">
        <w:rPr>
          <w:rStyle w:val="a7"/>
          <w:rtl/>
        </w:rPr>
        <w:instrText xml:space="preserve"> </w:instrText>
      </w:r>
      <w:r w:rsidRPr="00A3735D">
        <w:rPr>
          <w:rStyle w:val="a7"/>
        </w:rPr>
      </w:r>
      <w:r>
        <w:rPr>
          <w:rStyle w:val="a7"/>
        </w:rPr>
        <w:instrText xml:space="preserve"> \* MERGEFORMAT </w:instrText>
      </w:r>
      <w:r w:rsidRPr="00A3735D">
        <w:rPr>
          <w:rStyle w:val="a7"/>
          <w:rtl/>
        </w:rPr>
        <w:fldChar w:fldCharType="separate"/>
      </w:r>
      <w:r>
        <w:rPr>
          <w:rStyle w:val="a7"/>
          <w:rtl/>
        </w:rPr>
        <w:t>ו</w:t>
      </w:r>
      <w:r w:rsidRPr="00A3735D">
        <w:rPr>
          <w:rStyle w:val="a7"/>
          <w:rtl/>
        </w:rPr>
        <w:fldChar w:fldCharType="end"/>
      </w:r>
      <w:r w:rsidRPr="00860278">
        <w:rPr>
          <w:rFonts w:hint="cs"/>
          <w:sz w:val="30"/>
          <w:rtl/>
        </w:rPr>
        <w:t xml:space="preserve"> כי </w:t>
      </w:r>
      <w:r w:rsidRPr="00860278">
        <w:rPr>
          <w:sz w:val="30"/>
          <w:rtl/>
        </w:rPr>
        <w:t xml:space="preserve">ישנה רמת </w:t>
      </w:r>
      <w:proofErr w:type="spellStart"/>
      <w:r w:rsidRPr="00860278">
        <w:rPr>
          <w:sz w:val="30"/>
          <w:rtl/>
        </w:rPr>
        <w:t>התכללות</w:t>
      </w:r>
      <w:proofErr w:type="spellEnd"/>
      <w:r w:rsidRPr="00860278">
        <w:rPr>
          <w:sz w:val="30"/>
          <w:rtl/>
        </w:rPr>
        <w:t xml:space="preserve"> גבוהה יותר, בה מתחברים ההפכים עצמם, ולא רק הנקודות המשותפות שהם </w:t>
      </w:r>
      <w:r w:rsidRPr="00860278">
        <w:rPr>
          <w:sz w:val="30"/>
          <w:rtl/>
        </w:rPr>
        <w:lastRenderedPageBreak/>
        <w:t xml:space="preserve">מסוגלים לחשוף בתוכם. זהו </w:t>
      </w:r>
      <w:proofErr w:type="spellStart"/>
      <w:r w:rsidRPr="00860278">
        <w:rPr>
          <w:sz w:val="30"/>
          <w:rtl/>
        </w:rPr>
        <w:t>כחה</w:t>
      </w:r>
      <w:proofErr w:type="spellEnd"/>
      <w:r w:rsidRPr="00860278">
        <w:rPr>
          <w:sz w:val="30"/>
          <w:rtl/>
        </w:rPr>
        <w:t xml:space="preserve"> של ספירת התפארת, הממזגת את כל הגוונים </w:t>
      </w:r>
      <w:proofErr w:type="spellStart"/>
      <w:r w:rsidRPr="00860278">
        <w:rPr>
          <w:sz w:val="30"/>
          <w:rtl/>
        </w:rPr>
        <w:t>וקוי</w:t>
      </w:r>
      <w:proofErr w:type="spellEnd"/>
      <w:r w:rsidRPr="00860278">
        <w:rPr>
          <w:sz w:val="30"/>
          <w:rtl/>
        </w:rPr>
        <w:t xml:space="preserve"> האופי. תכונת הנפש של התפארת</w:t>
      </w:r>
      <w:r w:rsidRPr="008636EE">
        <w:rPr>
          <w:rStyle w:val="a3"/>
          <w:rtl/>
        </w:rPr>
        <w:endnoteReference w:id="8"/>
      </w:r>
      <w:r w:rsidRPr="00860278">
        <w:rPr>
          <w:sz w:val="30"/>
          <w:rtl/>
        </w:rPr>
        <w:t xml:space="preserve"> היא "</w:t>
      </w:r>
      <w:proofErr w:type="spellStart"/>
      <w:r w:rsidRPr="00860278">
        <w:rPr>
          <w:sz w:val="30"/>
          <w:rtl/>
        </w:rPr>
        <w:t>לאסתכלא</w:t>
      </w:r>
      <w:proofErr w:type="spellEnd"/>
      <w:r w:rsidRPr="00860278">
        <w:rPr>
          <w:sz w:val="30"/>
          <w:rtl/>
        </w:rPr>
        <w:t xml:space="preserve"> </w:t>
      </w:r>
      <w:proofErr w:type="spellStart"/>
      <w:r w:rsidRPr="00860278">
        <w:rPr>
          <w:sz w:val="30"/>
          <w:rtl/>
        </w:rPr>
        <w:t>ביקרא</w:t>
      </w:r>
      <w:proofErr w:type="spellEnd"/>
      <w:r w:rsidRPr="00860278">
        <w:rPr>
          <w:sz w:val="30"/>
          <w:rtl/>
        </w:rPr>
        <w:t xml:space="preserve"> </w:t>
      </w:r>
      <w:proofErr w:type="spellStart"/>
      <w:r w:rsidRPr="00860278">
        <w:rPr>
          <w:sz w:val="30"/>
          <w:rtl/>
        </w:rPr>
        <w:t>דמלכא</w:t>
      </w:r>
      <w:proofErr w:type="spellEnd"/>
      <w:r w:rsidRPr="00860278">
        <w:rPr>
          <w:sz w:val="30"/>
          <w:rtl/>
        </w:rPr>
        <w:t>"</w:t>
      </w:r>
      <w:r w:rsidRPr="008636EE">
        <w:rPr>
          <w:rStyle w:val="a3"/>
          <w:rtl/>
        </w:rPr>
        <w:endnoteReference w:id="9"/>
      </w:r>
      <w:r w:rsidRPr="00860278">
        <w:rPr>
          <w:rFonts w:hint="cs"/>
          <w:sz w:val="30"/>
          <w:rtl/>
        </w:rPr>
        <w:t xml:space="preserve"> </w:t>
      </w:r>
      <w:r w:rsidRPr="00860278">
        <w:rPr>
          <w:sz w:val="30"/>
          <w:rtl/>
        </w:rPr>
        <w:t xml:space="preserve">– להסתכל </w:t>
      </w:r>
      <w:r w:rsidRPr="00860278">
        <w:rPr>
          <w:rFonts w:hint="cs"/>
          <w:sz w:val="30"/>
          <w:rtl/>
        </w:rPr>
        <w:t>ב"כבוד מלכותו ויקר תפארת גדולתו"</w:t>
      </w:r>
      <w:r w:rsidRPr="008636EE">
        <w:rPr>
          <w:rStyle w:val="a3"/>
          <w:rtl/>
        </w:rPr>
        <w:endnoteReference w:id="10"/>
      </w:r>
      <w:r w:rsidRPr="00860278">
        <w:rPr>
          <w:rFonts w:hint="cs"/>
          <w:sz w:val="30"/>
          <w:rtl/>
        </w:rPr>
        <w:t xml:space="preserve"> של</w:t>
      </w:r>
      <w:r w:rsidRPr="00860278">
        <w:rPr>
          <w:sz w:val="30"/>
          <w:rtl/>
        </w:rPr>
        <w:t xml:space="preserve"> הקב"ה, תוך בטול והתפעלות הנפש מן </w:t>
      </w:r>
      <w:proofErr w:type="spellStart"/>
      <w:r w:rsidRPr="00860278">
        <w:rPr>
          <w:sz w:val="30"/>
          <w:rtl/>
        </w:rPr>
        <w:t>האלקי</w:t>
      </w:r>
      <w:proofErr w:type="spellEnd"/>
      <w:r w:rsidRPr="00860278">
        <w:rPr>
          <w:sz w:val="30"/>
          <w:rtl/>
        </w:rPr>
        <w:t xml:space="preserve">. אז מתחברים ההפכים משום שהם נחשפים </w:t>
      </w:r>
      <w:proofErr w:type="spellStart"/>
      <w:r w:rsidRPr="00860278">
        <w:rPr>
          <w:sz w:val="30"/>
          <w:rtl/>
        </w:rPr>
        <w:t>לשרשם</w:t>
      </w:r>
      <w:proofErr w:type="spellEnd"/>
      <w:r w:rsidRPr="00860278">
        <w:rPr>
          <w:sz w:val="30"/>
          <w:rtl/>
        </w:rPr>
        <w:t xml:space="preserve"> הנעלם</w:t>
      </w:r>
      <w:r w:rsidRPr="00860278">
        <w:rPr>
          <w:rFonts w:hint="cs"/>
          <w:sz w:val="30"/>
          <w:rtl/>
        </w:rPr>
        <w:t xml:space="preserve"> באור </w:t>
      </w:r>
      <w:proofErr w:type="spellStart"/>
      <w:r w:rsidRPr="00860278">
        <w:rPr>
          <w:rFonts w:hint="cs"/>
          <w:sz w:val="30"/>
          <w:rtl/>
        </w:rPr>
        <w:t>האלקי</w:t>
      </w:r>
      <w:proofErr w:type="spellEnd"/>
      <w:r w:rsidRPr="00860278">
        <w:rPr>
          <w:rFonts w:hint="cs"/>
          <w:sz w:val="30"/>
          <w:rtl/>
        </w:rPr>
        <w:t xml:space="preserve"> הגבוה משניהם, שגילויו</w:t>
      </w:r>
      <w:r w:rsidRPr="00860278">
        <w:rPr>
          <w:sz w:val="30"/>
          <w:rtl/>
        </w:rPr>
        <w:t xml:space="preserve"> מבטל את </w:t>
      </w:r>
      <w:proofErr w:type="spellStart"/>
      <w:r w:rsidRPr="00860278">
        <w:rPr>
          <w:sz w:val="30"/>
          <w:rtl/>
        </w:rPr>
        <w:t>הפכיותם</w:t>
      </w:r>
      <w:proofErr w:type="spellEnd"/>
      <w:r w:rsidRPr="00860278">
        <w:rPr>
          <w:sz w:val="30"/>
          <w:rtl/>
        </w:rPr>
        <w:t xml:space="preserve"> ומגלה שבעצם הם אחד ממש</w:t>
      </w:r>
      <w:r w:rsidRPr="00860278">
        <w:rPr>
          <w:rFonts w:hint="cs"/>
          <w:sz w:val="30"/>
          <w:rtl/>
        </w:rPr>
        <w:t>. כך דרשו חז"ל</w:t>
      </w:r>
      <w:r w:rsidRPr="008636EE">
        <w:rPr>
          <w:rStyle w:val="a3"/>
          <w:rtl/>
        </w:rPr>
        <w:endnoteReference w:id="11"/>
      </w:r>
      <w:r w:rsidRPr="00860278">
        <w:rPr>
          <w:rFonts w:hint="cs"/>
          <w:sz w:val="30"/>
          <w:rtl/>
        </w:rPr>
        <w:t xml:space="preserve"> על הפסוק "ע</w:t>
      </w:r>
      <w:r>
        <w:rPr>
          <w:rFonts w:hint="eastAsia"/>
          <w:sz w:val="30"/>
          <w:rtl/>
        </w:rPr>
        <w:t>ֹ</w:t>
      </w:r>
      <w:r w:rsidRPr="00860278">
        <w:rPr>
          <w:rFonts w:hint="cs"/>
          <w:sz w:val="30"/>
          <w:rtl/>
        </w:rPr>
        <w:t>שה שלום במרומיו"</w:t>
      </w:r>
      <w:r w:rsidRPr="008636EE">
        <w:rPr>
          <w:rStyle w:val="a3"/>
          <w:rtl/>
        </w:rPr>
        <w:endnoteReference w:id="12"/>
      </w:r>
      <w:r w:rsidRPr="00860278">
        <w:rPr>
          <w:rFonts w:hint="cs"/>
          <w:sz w:val="30"/>
          <w:rtl/>
        </w:rPr>
        <w:t xml:space="preserve">, כי בפני ה' מלאכים וכחות הפוכים ניצבים בשלום וממלאים ביחד את שליחותם (לעתים העמידה בפני ה' רק 'מחלישה' את </w:t>
      </w:r>
      <w:proofErr w:type="spellStart"/>
      <w:r w:rsidRPr="00860278">
        <w:rPr>
          <w:rFonts w:hint="cs"/>
          <w:sz w:val="30"/>
          <w:rtl/>
        </w:rPr>
        <w:t>הכח</w:t>
      </w:r>
      <w:proofErr w:type="spellEnd"/>
      <w:r w:rsidRPr="00860278">
        <w:rPr>
          <w:rFonts w:hint="cs"/>
          <w:sz w:val="30"/>
          <w:rtl/>
        </w:rPr>
        <w:t xml:space="preserve"> הנפרד של השונים ומאפשרת מצב של 'אי לוחמה', אך כאשר ישנה שליחות </w:t>
      </w:r>
      <w:proofErr w:type="spellStart"/>
      <w:r w:rsidRPr="00860278">
        <w:rPr>
          <w:rFonts w:hint="cs"/>
          <w:sz w:val="30"/>
          <w:rtl/>
        </w:rPr>
        <w:t>אלקית</w:t>
      </w:r>
      <w:proofErr w:type="spellEnd"/>
      <w:r w:rsidRPr="00860278">
        <w:rPr>
          <w:rFonts w:hint="cs"/>
          <w:sz w:val="30"/>
          <w:rtl/>
        </w:rPr>
        <w:t xml:space="preserve"> משותפת נצרך כל מלאך או </w:t>
      </w:r>
      <w:proofErr w:type="spellStart"/>
      <w:r w:rsidRPr="00860278">
        <w:rPr>
          <w:rFonts w:hint="cs"/>
          <w:sz w:val="30"/>
          <w:rtl/>
        </w:rPr>
        <w:t>כח</w:t>
      </w:r>
      <w:proofErr w:type="spellEnd"/>
      <w:r w:rsidRPr="00860278">
        <w:rPr>
          <w:rFonts w:hint="cs"/>
          <w:sz w:val="30"/>
          <w:rtl/>
        </w:rPr>
        <w:t xml:space="preserve"> לתת את כל </w:t>
      </w:r>
      <w:proofErr w:type="spellStart"/>
      <w:r w:rsidRPr="00860278">
        <w:rPr>
          <w:rFonts w:hint="cs"/>
          <w:sz w:val="30"/>
          <w:rtl/>
        </w:rPr>
        <w:t>כחו</w:t>
      </w:r>
      <w:proofErr w:type="spellEnd"/>
      <w:r w:rsidRPr="00860278">
        <w:rPr>
          <w:rFonts w:hint="cs"/>
          <w:sz w:val="30"/>
          <w:rtl/>
        </w:rPr>
        <w:t xml:space="preserve"> בשליחות זו מתוך שיתוף פעולה מלא)</w:t>
      </w:r>
      <w:r w:rsidRPr="00860278">
        <w:rPr>
          <w:sz w:val="30"/>
          <w:rtl/>
        </w:rPr>
        <w:t xml:space="preserve">. </w:t>
      </w:r>
    </w:p>
    <w:p w:rsidR="008323B7" w:rsidRPr="00860278" w:rsidRDefault="008323B7" w:rsidP="008323B7">
      <w:pPr>
        <w:rPr>
          <w:sz w:val="30"/>
          <w:rtl/>
        </w:rPr>
      </w:pPr>
      <w:r w:rsidRPr="00860278">
        <w:rPr>
          <w:sz w:val="30"/>
          <w:rtl/>
        </w:rPr>
        <w:t xml:space="preserve">בין בני זוג זהו </w:t>
      </w:r>
      <w:proofErr w:type="spellStart"/>
      <w:r w:rsidRPr="00860278">
        <w:rPr>
          <w:sz w:val="30"/>
          <w:rtl/>
        </w:rPr>
        <w:t>הכח</w:t>
      </w:r>
      <w:proofErr w:type="spellEnd"/>
      <w:r w:rsidRPr="00860278">
        <w:rPr>
          <w:sz w:val="30"/>
          <w:rtl/>
        </w:rPr>
        <w:t xml:space="preserve"> </w:t>
      </w:r>
      <w:r w:rsidRPr="00860278">
        <w:rPr>
          <w:rFonts w:hint="cs"/>
          <w:sz w:val="30"/>
          <w:rtl/>
        </w:rPr>
        <w:t>לראות את מוקד החיים</w:t>
      </w:r>
      <w:r w:rsidRPr="00860278">
        <w:rPr>
          <w:sz w:val="30"/>
          <w:rtl/>
        </w:rPr>
        <w:t xml:space="preserve"> </w:t>
      </w:r>
      <w:r w:rsidRPr="00860278">
        <w:rPr>
          <w:rFonts w:hint="cs"/>
          <w:sz w:val="30"/>
          <w:rtl/>
        </w:rPr>
        <w:t>ב</w:t>
      </w:r>
      <w:r w:rsidRPr="00860278">
        <w:rPr>
          <w:sz w:val="30"/>
          <w:rtl/>
        </w:rPr>
        <w:t>שותף השלישי</w:t>
      </w:r>
      <w:r w:rsidRPr="008636EE">
        <w:rPr>
          <w:rStyle w:val="a3"/>
          <w:rtl/>
        </w:rPr>
        <w:endnoteReference w:id="13"/>
      </w:r>
      <w:r w:rsidRPr="00860278">
        <w:rPr>
          <w:rFonts w:hint="cs"/>
          <w:sz w:val="30"/>
          <w:rtl/>
        </w:rPr>
        <w:t>, ובעצם לזהות את</w:t>
      </w:r>
      <w:r w:rsidRPr="00860278">
        <w:rPr>
          <w:sz w:val="30"/>
          <w:rtl/>
        </w:rPr>
        <w:t xml:space="preserve"> השרש המשותף בה', בו הם אחד ממש</w:t>
      </w:r>
      <w:r w:rsidRPr="00860278">
        <w:rPr>
          <w:rFonts w:hint="cs"/>
          <w:sz w:val="30"/>
          <w:rtl/>
        </w:rPr>
        <w:t xml:space="preserve"> ("שכולן מתאימות ואב אחד </w:t>
      </w:r>
      <w:proofErr w:type="spellStart"/>
      <w:r w:rsidRPr="00860278">
        <w:rPr>
          <w:rFonts w:hint="cs"/>
          <w:sz w:val="30"/>
          <w:rtl/>
        </w:rPr>
        <w:t>לכולנה</w:t>
      </w:r>
      <w:proofErr w:type="spellEnd"/>
      <w:r w:rsidRPr="00860278">
        <w:rPr>
          <w:rFonts w:hint="cs"/>
          <w:sz w:val="30"/>
          <w:rtl/>
        </w:rPr>
        <w:t>, ולכן נקראו כל ישראל אחים ממש, מצד שרש נפשם בה' אחד, ורק הגופים מחולקים"</w:t>
      </w:r>
      <w:r w:rsidRPr="008636EE">
        <w:rPr>
          <w:rStyle w:val="a3"/>
          <w:rtl/>
        </w:rPr>
        <w:endnoteReference w:id="14"/>
      </w:r>
      <w:r w:rsidRPr="00860278">
        <w:rPr>
          <w:rFonts w:hint="cs"/>
          <w:sz w:val="30"/>
          <w:rtl/>
        </w:rPr>
        <w:t>)</w:t>
      </w:r>
      <w:r w:rsidRPr="00860278">
        <w:rPr>
          <w:sz w:val="30"/>
          <w:rtl/>
        </w:rPr>
        <w:t xml:space="preserve">. </w:t>
      </w:r>
      <w:r w:rsidRPr="00860278">
        <w:rPr>
          <w:rFonts w:hint="cs"/>
          <w:sz w:val="30"/>
          <w:rtl/>
        </w:rPr>
        <w:t>כאשר עוסקים בעבודה משותפת של "</w:t>
      </w:r>
      <w:proofErr w:type="spellStart"/>
      <w:r w:rsidRPr="00860278">
        <w:rPr>
          <w:rFonts w:hint="cs"/>
          <w:sz w:val="30"/>
          <w:rtl/>
        </w:rPr>
        <w:t>לאסתכלא</w:t>
      </w:r>
      <w:proofErr w:type="spellEnd"/>
      <w:r w:rsidRPr="00860278">
        <w:rPr>
          <w:rFonts w:hint="cs"/>
          <w:sz w:val="30"/>
          <w:rtl/>
        </w:rPr>
        <w:t xml:space="preserve"> </w:t>
      </w:r>
      <w:proofErr w:type="spellStart"/>
      <w:r w:rsidRPr="00860278">
        <w:rPr>
          <w:rFonts w:hint="cs"/>
          <w:sz w:val="30"/>
          <w:rtl/>
        </w:rPr>
        <w:t>ביקרא</w:t>
      </w:r>
      <w:proofErr w:type="spellEnd"/>
      <w:r w:rsidRPr="00860278">
        <w:rPr>
          <w:rFonts w:hint="cs"/>
          <w:sz w:val="30"/>
          <w:rtl/>
        </w:rPr>
        <w:t xml:space="preserve"> </w:t>
      </w:r>
      <w:proofErr w:type="spellStart"/>
      <w:r w:rsidRPr="00860278">
        <w:rPr>
          <w:rFonts w:hint="cs"/>
          <w:sz w:val="30"/>
          <w:rtl/>
        </w:rPr>
        <w:t>דמלכא</w:t>
      </w:r>
      <w:proofErr w:type="spellEnd"/>
      <w:r w:rsidRPr="00860278">
        <w:rPr>
          <w:rFonts w:hint="cs"/>
          <w:sz w:val="30"/>
          <w:rtl/>
        </w:rPr>
        <w:t xml:space="preserve">" </w:t>
      </w:r>
      <w:r w:rsidRPr="00860278">
        <w:rPr>
          <w:sz w:val="30"/>
          <w:rtl/>
        </w:rPr>
        <w:t xml:space="preserve">מתגלה שתכונות האופי ההפכיות הן גילוים וסעיפים שונים של נקודת עצם משותפת. </w:t>
      </w:r>
    </w:p>
    <w:p w:rsidR="005F4A47" w:rsidRDefault="008323B7" w:rsidP="008323B7">
      <w:r w:rsidRPr="00860278">
        <w:rPr>
          <w:sz w:val="30"/>
          <w:rtl/>
        </w:rPr>
        <w:t xml:space="preserve">ובהמחשה מעשית: כשאין לבני זוג </w:t>
      </w:r>
      <w:r w:rsidRPr="00860278">
        <w:rPr>
          <w:rFonts w:hint="cs"/>
          <w:sz w:val="30"/>
          <w:rtl/>
        </w:rPr>
        <w:t xml:space="preserve">כל </w:t>
      </w:r>
      <w:r w:rsidRPr="00860278">
        <w:rPr>
          <w:sz w:val="30"/>
          <w:rtl/>
        </w:rPr>
        <w:t xml:space="preserve">מודעות </w:t>
      </w:r>
      <w:proofErr w:type="spellStart"/>
      <w:r w:rsidRPr="00860278">
        <w:rPr>
          <w:sz w:val="30"/>
          <w:rtl/>
        </w:rPr>
        <w:t>לענין</w:t>
      </w:r>
      <w:proofErr w:type="spellEnd"/>
      <w:r w:rsidRPr="00860278">
        <w:rPr>
          <w:sz w:val="30"/>
          <w:rtl/>
        </w:rPr>
        <w:t xml:space="preserve"> </w:t>
      </w:r>
      <w:proofErr w:type="spellStart"/>
      <w:r w:rsidRPr="00860278">
        <w:rPr>
          <w:sz w:val="30"/>
          <w:rtl/>
        </w:rPr>
        <w:t>האלקי</w:t>
      </w:r>
      <w:proofErr w:type="spellEnd"/>
      <w:r w:rsidRPr="00860278">
        <w:rPr>
          <w:sz w:val="30"/>
          <w:rtl/>
        </w:rPr>
        <w:t xml:space="preserve"> הם נישאים על סמך נקודות ענין משותפות או אינטרסים משותפים, וממילא עצם האישיות של כל אחד נותרת 'מחוץ לנישואין'</w:t>
      </w:r>
      <w:r w:rsidRPr="00860278">
        <w:rPr>
          <w:rFonts w:hint="cs"/>
          <w:sz w:val="30"/>
          <w:rtl/>
        </w:rPr>
        <w:t xml:space="preserve"> (זהו מצב של "חש"</w:t>
      </w:r>
      <w:r w:rsidRPr="008636EE">
        <w:rPr>
          <w:rStyle w:val="a3"/>
          <w:rtl/>
        </w:rPr>
        <w:endnoteReference w:id="15"/>
      </w:r>
      <w:r w:rsidRPr="00860278">
        <w:rPr>
          <w:rFonts w:hint="cs"/>
          <w:sz w:val="30"/>
          <w:rtl/>
        </w:rPr>
        <w:t xml:space="preserve">, שתיקת החלק </w:t>
      </w:r>
      <w:proofErr w:type="spellStart"/>
      <w:r w:rsidRPr="00860278">
        <w:rPr>
          <w:rFonts w:hint="cs"/>
          <w:sz w:val="30"/>
          <w:rtl/>
        </w:rPr>
        <w:t>האלקי</w:t>
      </w:r>
      <w:proofErr w:type="spellEnd"/>
      <w:r w:rsidRPr="00860278">
        <w:rPr>
          <w:rFonts w:hint="cs"/>
          <w:sz w:val="30"/>
          <w:rtl/>
        </w:rPr>
        <w:t xml:space="preserve"> של בני הזוג, כאשר כל אחד חש נקודות ענין ואינטרסים משותפים, מהם </w:t>
      </w:r>
      <w:proofErr w:type="spellStart"/>
      <w:r w:rsidRPr="00860278">
        <w:rPr>
          <w:rFonts w:hint="cs"/>
          <w:sz w:val="30"/>
          <w:rtl/>
        </w:rPr>
        <w:t>ירויח</w:t>
      </w:r>
      <w:proofErr w:type="spellEnd"/>
      <w:r w:rsidRPr="00860278">
        <w:rPr>
          <w:rFonts w:hint="cs"/>
          <w:sz w:val="30"/>
          <w:rtl/>
        </w:rPr>
        <w:t xml:space="preserve"> לפי דמיונו, אך בעצם חש רק את עצמו ונותר 'רווק' ו'נפרד' בעצם)</w:t>
      </w:r>
      <w:r w:rsidRPr="00860278">
        <w:rPr>
          <w:sz w:val="30"/>
          <w:rtl/>
        </w:rPr>
        <w:t xml:space="preserve">. </w:t>
      </w:r>
      <w:r w:rsidRPr="00860278">
        <w:rPr>
          <w:rFonts w:hint="cs"/>
          <w:sz w:val="30"/>
          <w:rtl/>
        </w:rPr>
        <w:t xml:space="preserve">עצם המודעות לנוכחות ה' מחלישה את ההתמקדות ב'אני', מלה את ערלת הלב הנפרדת ומאפשרת להתבגר </w:t>
      </w:r>
      <w:r>
        <w:rPr>
          <w:rFonts w:hint="cs"/>
          <w:sz w:val="30"/>
          <w:rtl/>
        </w:rPr>
        <w:t>ו</w:t>
      </w:r>
      <w:r w:rsidRPr="00860278">
        <w:rPr>
          <w:rFonts w:hint="cs"/>
          <w:sz w:val="30"/>
          <w:rtl/>
        </w:rPr>
        <w:t xml:space="preserve">למצוא בתוך כל אחד גם את הזולת הנבדל (זהו מצב של "מל" מלשון ברית מילה והבדלה). אך דווקא </w:t>
      </w:r>
      <w:r w:rsidRPr="00860278">
        <w:rPr>
          <w:sz w:val="30"/>
          <w:rtl/>
        </w:rPr>
        <w:t xml:space="preserve">המודעות של בני הזוג </w:t>
      </w:r>
      <w:proofErr w:type="spellStart"/>
      <w:r w:rsidRPr="00860278">
        <w:rPr>
          <w:sz w:val="30"/>
          <w:rtl/>
        </w:rPr>
        <w:t>למצוה</w:t>
      </w:r>
      <w:proofErr w:type="spellEnd"/>
      <w:r w:rsidRPr="00860278">
        <w:rPr>
          <w:sz w:val="30"/>
          <w:rtl/>
        </w:rPr>
        <w:t xml:space="preserve"> שבנישואין ולשליחותם המשותפת בעולם</w:t>
      </w:r>
      <w:r w:rsidRPr="008636EE">
        <w:rPr>
          <w:rStyle w:val="a3"/>
          <w:rtl/>
        </w:rPr>
        <w:endnoteReference w:id="16"/>
      </w:r>
      <w:r w:rsidRPr="00860278">
        <w:rPr>
          <w:sz w:val="30"/>
          <w:rtl/>
        </w:rPr>
        <w:t xml:space="preserve"> </w:t>
      </w:r>
      <w:proofErr w:type="spellStart"/>
      <w:r w:rsidRPr="00860278">
        <w:rPr>
          <w:sz w:val="30"/>
          <w:rtl/>
        </w:rPr>
        <w:t>מנשאת</w:t>
      </w:r>
      <w:proofErr w:type="spellEnd"/>
      <w:r w:rsidRPr="00860278">
        <w:rPr>
          <w:sz w:val="30"/>
          <w:rtl/>
        </w:rPr>
        <w:t xml:space="preserve"> אותם מעל לנקודות אופי או אינטרסים צרים ומביאה לחיבור שלם שלהם בחתירה ליעוד המשותף</w:t>
      </w:r>
      <w:r w:rsidRPr="00860278">
        <w:rPr>
          <w:rFonts w:hint="cs"/>
          <w:sz w:val="30"/>
          <w:rtl/>
        </w:rPr>
        <w:t xml:space="preserve"> (ב"מל" של המתקה ותקשורת מלאה ושלמה בין בני הזוג)</w:t>
      </w:r>
      <w:r w:rsidRPr="00860278">
        <w:rPr>
          <w:sz w:val="30"/>
          <w:rtl/>
        </w:rPr>
        <w:t>.</w:t>
      </w:r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0D3" w:rsidRDefault="00D530D3" w:rsidP="008323B7">
      <w:pPr>
        <w:spacing w:after="0" w:line="240" w:lineRule="auto"/>
      </w:pPr>
      <w:r>
        <w:separator/>
      </w:r>
    </w:p>
  </w:endnote>
  <w:endnote w:type="continuationSeparator" w:id="0">
    <w:p w:rsidR="00D530D3" w:rsidRDefault="00D530D3" w:rsidP="008323B7">
      <w:pPr>
        <w:spacing w:after="0" w:line="240" w:lineRule="auto"/>
      </w:pPr>
      <w:r>
        <w:continuationSeparator/>
      </w:r>
    </w:p>
  </w:endnote>
  <w:endnote w:id="1">
    <w:p w:rsidR="008323B7" w:rsidRDefault="008323B7" w:rsidP="008323B7">
      <w:pPr>
        <w:pStyle w:val="a5"/>
        <w:rPr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לקו"ת</w:t>
      </w:r>
      <w:proofErr w:type="spellEnd"/>
      <w:r>
        <w:rPr>
          <w:rFonts w:hint="cs"/>
          <w:rtl/>
        </w:rPr>
        <w:t xml:space="preserve"> ויקרא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, ד.</w:t>
      </w:r>
    </w:p>
  </w:endnote>
  <w:endnote w:id="2">
    <w:p w:rsidR="008323B7" w:rsidRDefault="008323B7" w:rsidP="008323B7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גם יין משמח ח"ד שער א בתורה "יחס, יחד, אחד".</w:t>
      </w:r>
    </w:p>
  </w:endnote>
  <w:endnote w:id="3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כמבואר בכ"ד, וראה למשל </w:t>
      </w:r>
      <w:proofErr w:type="spellStart"/>
      <w:r>
        <w:rPr>
          <w:rFonts w:hint="cs"/>
          <w:rtl/>
        </w:rPr>
        <w:t>לקו"ת</w:t>
      </w:r>
      <w:proofErr w:type="spellEnd"/>
      <w:r>
        <w:rPr>
          <w:rFonts w:hint="cs"/>
          <w:rtl/>
        </w:rPr>
        <w:t xml:space="preserve"> אמור </w:t>
      </w:r>
      <w:proofErr w:type="spellStart"/>
      <w:r>
        <w:rPr>
          <w:rFonts w:hint="cs"/>
          <w:rtl/>
        </w:rPr>
        <w:t>לז</w:t>
      </w:r>
      <w:proofErr w:type="spellEnd"/>
      <w:r>
        <w:rPr>
          <w:rFonts w:hint="cs"/>
          <w:rtl/>
        </w:rPr>
        <w:t xml:space="preserve">, ג (ואילך), שער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פ"כ</w:t>
      </w:r>
      <w:proofErr w:type="spellEnd"/>
      <w:r>
        <w:rPr>
          <w:rFonts w:hint="cs"/>
          <w:rtl/>
        </w:rPr>
        <w:t>.</w:t>
      </w:r>
    </w:p>
  </w:endnote>
  <w:endnote w:id="4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שער ז בתורה "נס הנישואין".</w:t>
      </w:r>
    </w:p>
  </w:endnote>
  <w:endnote w:id="5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אבות פ"ה מט"ז.</w:t>
      </w:r>
    </w:p>
  </w:endnote>
  <w:endnote w:id="6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ד"ה "וירח את ריח הניחוח" </w:t>
      </w:r>
      <w:proofErr w:type="spellStart"/>
      <w:r>
        <w:rPr>
          <w:rFonts w:hint="cs"/>
          <w:rtl/>
        </w:rPr>
        <w:t>עטר"ת</w:t>
      </w:r>
      <w:proofErr w:type="spellEnd"/>
      <w:r>
        <w:rPr>
          <w:rFonts w:hint="cs"/>
          <w:rtl/>
        </w:rPr>
        <w:t xml:space="preserve"> (ובכ"ד, בהרחבה, בהמשך המאמרים </w:t>
      </w:r>
      <w:proofErr w:type="spellStart"/>
      <w:r>
        <w:rPr>
          <w:rFonts w:hint="cs"/>
          <w:rtl/>
        </w:rPr>
        <w:t>תער"ב</w:t>
      </w:r>
      <w:proofErr w:type="spellEnd"/>
      <w:r>
        <w:rPr>
          <w:rFonts w:hint="cs"/>
          <w:rtl/>
        </w:rPr>
        <w:t>). ראה גם יין המשמח ח"ד שער א בתורה "התבגרות ונישואין".</w:t>
      </w:r>
    </w:p>
  </w:endnote>
  <w:endnote w:id="7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תענית כ, א.</w:t>
      </w:r>
    </w:p>
  </w:endnote>
  <w:endnote w:id="8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הנפש סוף פרק י.</w:t>
      </w:r>
    </w:p>
  </w:endnote>
  <w:endnote w:id="9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ח"א </w:t>
      </w:r>
      <w:proofErr w:type="spellStart"/>
      <w:r>
        <w:rPr>
          <w:rFonts w:hint="cs"/>
          <w:rtl/>
        </w:rPr>
        <w:t>קצט</w:t>
      </w:r>
      <w:proofErr w:type="spellEnd"/>
      <w:r>
        <w:rPr>
          <w:rFonts w:hint="cs"/>
          <w:rtl/>
        </w:rPr>
        <w:t>, א.</w:t>
      </w:r>
    </w:p>
  </w:endnote>
  <w:endnote w:id="10">
    <w:p w:rsidR="008323B7" w:rsidRDefault="008323B7" w:rsidP="008323B7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עפ"י אסתר א, ד.</w:t>
      </w:r>
    </w:p>
  </w:endnote>
  <w:endnote w:id="11">
    <w:p w:rsidR="008323B7" w:rsidRDefault="008323B7" w:rsidP="008323B7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דברים רבה ה, יא; שיר השירים רבה ג, כד; </w:t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ויגש</w:t>
      </w:r>
      <w:proofErr w:type="spellEnd"/>
      <w:r>
        <w:rPr>
          <w:rFonts w:hint="cs"/>
          <w:rtl/>
        </w:rPr>
        <w:t xml:space="preserve"> ה.</w:t>
      </w:r>
    </w:p>
  </w:endnote>
  <w:endnote w:id="12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איוב כה, ב.</w:t>
      </w:r>
    </w:p>
  </w:endnote>
  <w:endnote w:id="13">
    <w:p w:rsidR="008323B7" w:rsidRDefault="008323B7" w:rsidP="008323B7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קדושין</w:t>
      </w:r>
      <w:proofErr w:type="spellEnd"/>
      <w:r>
        <w:rPr>
          <w:rFonts w:hint="cs"/>
          <w:rtl/>
        </w:rPr>
        <w:t xml:space="preserve"> ל, ב. נדה לא, א.</w:t>
      </w:r>
    </w:p>
  </w:endnote>
  <w:endnote w:id="14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תניא </w:t>
      </w:r>
      <w:proofErr w:type="spellStart"/>
      <w:r>
        <w:rPr>
          <w:rFonts w:hint="cs"/>
          <w:rtl/>
        </w:rPr>
        <w:t>פל"ב</w:t>
      </w:r>
      <w:proofErr w:type="spellEnd"/>
      <w:r>
        <w:rPr>
          <w:rFonts w:hint="cs"/>
          <w:rtl/>
        </w:rPr>
        <w:t>.</w:t>
      </w:r>
    </w:p>
  </w:endnote>
  <w:endnote w:id="15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כתר שם טוב (הוצאת </w:t>
      </w:r>
      <w:proofErr w:type="spellStart"/>
      <w:r>
        <w:rPr>
          <w:rFonts w:hint="cs"/>
          <w:rtl/>
        </w:rPr>
        <w:t>קה"ת</w:t>
      </w:r>
      <w:proofErr w:type="spellEnd"/>
      <w:r>
        <w:rPr>
          <w:rFonts w:hint="cs"/>
          <w:rtl/>
        </w:rPr>
        <w:t xml:space="preserve">) אות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</w:t>
      </w:r>
    </w:p>
  </w:endnote>
  <w:endnote w:id="16">
    <w:p w:rsidR="008323B7" w:rsidRDefault="008323B7" w:rsidP="008323B7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גם שער ו בתורה "יחוד, ברכה, קדושה".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0D3" w:rsidRDefault="00D530D3" w:rsidP="008323B7">
      <w:pPr>
        <w:spacing w:after="0" w:line="240" w:lineRule="auto"/>
      </w:pPr>
      <w:r>
        <w:separator/>
      </w:r>
    </w:p>
  </w:footnote>
  <w:footnote w:type="continuationSeparator" w:id="0">
    <w:p w:rsidR="00D530D3" w:rsidRDefault="00D530D3" w:rsidP="00832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77"/>
    <w:rsid w:val="00061E65"/>
    <w:rsid w:val="000F3A77"/>
    <w:rsid w:val="008323B7"/>
    <w:rsid w:val="00AC2310"/>
    <w:rsid w:val="00D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323B7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323B7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323B7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8323B7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8323B7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8323B7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8323B7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8323B7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8323B7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8323B7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323B7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323B7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323B7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8323B7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8323B7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8323B7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8323B7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8323B7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8323B7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8323B7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2017-08-16T09:46:00Z</dcterms:created>
  <dcterms:modified xsi:type="dcterms:W3CDTF">2017-08-16T09:46:00Z</dcterms:modified>
</cp:coreProperties>
</file>