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E7" w:rsidRPr="000867E7" w:rsidRDefault="000867E7" w:rsidP="000867E7">
      <w:pPr>
        <w:spacing w:before="720" w:after="720" w:line="240" w:lineRule="auto"/>
        <w:ind w:left="-45"/>
        <w:jc w:val="right"/>
        <w:outlineLvl w:val="1"/>
        <w:rPr>
          <w:rFonts w:ascii="DF Calligraphic Ornaments LET" w:eastAsia="Times New Roman" w:hAnsi="DF Calligraphic Ornaments LET" w:cs="Guttman Soncino" w:hint="cs"/>
          <w:noProof/>
          <w:spacing w:val="20"/>
          <w:w w:val="90"/>
          <w:kern w:val="28"/>
          <w:sz w:val="44"/>
          <w:szCs w:val="46"/>
          <w:rtl/>
        </w:rPr>
      </w:pPr>
      <w:bookmarkStart w:id="0" w:name="_Toc302128594"/>
      <w:bookmarkStart w:id="1" w:name="_Ref302128837"/>
      <w:r w:rsidRPr="000867E7">
        <w:rPr>
          <w:rFonts w:ascii="DF Calligraphic Ornaments LET" w:eastAsia="Times New Roman" w:hAnsi="DF Calligraphic Ornaments LET" w:cs="Guttman Soncino" w:hint="cs"/>
          <w:noProof/>
          <w:spacing w:val="20"/>
          <w:w w:val="90"/>
          <w:kern w:val="28"/>
          <w:sz w:val="44"/>
          <w:szCs w:val="46"/>
          <w:rtl/>
        </w:rPr>
        <w:t>כתיבה וחתימה טובה</w:t>
      </w:r>
      <w:bookmarkEnd w:id="0"/>
      <w:bookmarkEnd w:id="1"/>
    </w:p>
    <w:p w:rsidR="000867E7" w:rsidRPr="000867E7" w:rsidRDefault="000867E7" w:rsidP="000867E7">
      <w:pPr>
        <w:keepNext/>
        <w:framePr w:dropCap="drop" w:lines="3" w:h="1059" w:hRule="exact" w:hSpace="57" w:wrap="around" w:vAnchor="text" w:hAnchor="text" w:xAlign="right" w:y="-319"/>
        <w:spacing w:after="0" w:line="1059" w:lineRule="exact"/>
        <w:jc w:val="both"/>
        <w:textAlignment w:val="baseline"/>
        <w:rPr>
          <w:rFonts w:ascii="Times New Roman" w:eastAsia="Times New Roman" w:hAnsi="Times New Roman" w:cs="Guttman Soncino"/>
          <w:b/>
          <w:bCs/>
          <w:color w:val="808080"/>
          <w:position w:val="-13"/>
          <w:sz w:val="84"/>
          <w:szCs w:val="84"/>
          <w:rtl/>
          <w:lang w:eastAsia="he-IL"/>
        </w:rPr>
      </w:pPr>
      <w:r w:rsidRPr="000867E7">
        <w:rPr>
          <w:rFonts w:ascii="Times New Roman" w:eastAsia="Times New Roman" w:hAnsi="Times New Roman" w:cs="Guttman Soncino" w:hint="cs"/>
          <w:b/>
          <w:bCs/>
          <w:color w:val="808080"/>
          <w:position w:val="-13"/>
          <w:sz w:val="84"/>
          <w:szCs w:val="84"/>
          <w:rtl/>
          <w:lang w:eastAsia="he-IL"/>
        </w:rPr>
        <w:t>ל</w:t>
      </w:r>
    </w:p>
    <w:p w:rsidR="000867E7" w:rsidRPr="000867E7" w:rsidRDefault="000867E7" w:rsidP="000867E7">
      <w:pPr>
        <w:spacing w:after="120" w:line="380" w:lineRule="exact"/>
        <w:jc w:val="both"/>
        <w:rPr>
          <w:rFonts w:ascii="Times New Roman" w:eastAsia="Times New Roman" w:hAnsi="Times New Roman" w:cs="oprFrank" w:hint="cs"/>
          <w:sz w:val="26"/>
          <w:szCs w:val="27"/>
          <w:rtl/>
          <w:lang w:eastAsia="he-IL"/>
        </w:rPr>
      </w:pPr>
      <w:r w:rsidRPr="000867E7">
        <w:rPr>
          <w:rFonts w:ascii="Times New Roman" w:eastAsia="Times New Roman" w:hAnsi="Times New Roman" w:cs="Guttman Soncino"/>
          <w:noProof/>
          <w:snapToGrid w:val="0"/>
          <w:sz w:val="23"/>
          <w:szCs w:val="21"/>
          <w:rtl/>
        </w:rPr>
        <w:t>א היו ימים טובים לישראל כחמשה עשר באב וכיום הכיפורים שבהן בנות ירושלים יוצאות בכלי לבן</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 xml:space="preserve"> וחולות בכרמים</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 xml:space="preserve"> ומה היו אומרות</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 xml:space="preserve"> בחור שא נא עיניך וראה מה אתה בורר לך</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 xml:space="preserve"> אל תתן עיניך בנוי</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 xml:space="preserve"> תן עיניך במשפחה</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 xml:space="preserve"> </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שקר החן והבל היופי אשה יראת ה' היא תתהלל</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oprFrank"/>
          <w:noProof/>
          <w:position w:val="-4"/>
          <w:sz w:val="26"/>
          <w:szCs w:val="26"/>
          <w:vertAlign w:val="superscript"/>
          <w:rtl/>
          <w:lang w:eastAsia="he-IL"/>
        </w:rPr>
        <w:endnoteReference w:id="1"/>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 xml:space="preserve"> ואומר </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Guttman Soncino"/>
          <w:noProof/>
          <w:snapToGrid w:val="0"/>
          <w:sz w:val="23"/>
          <w:szCs w:val="21"/>
          <w:rtl/>
        </w:rPr>
        <w:t>תנו לה מפרי ידיה ויהללוה בשערים מעשיה</w:t>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oprFrank"/>
          <w:noProof/>
          <w:position w:val="-4"/>
          <w:sz w:val="26"/>
          <w:szCs w:val="26"/>
          <w:vertAlign w:val="superscript"/>
          <w:rtl/>
          <w:lang w:eastAsia="he-IL"/>
        </w:rPr>
        <w:endnoteReference w:id="2"/>
      </w:r>
      <w:r w:rsidRPr="000867E7">
        <w:rPr>
          <w:rFonts w:ascii="Times New Roman" w:eastAsia="Times New Roman" w:hAnsi="Times New Roman" w:cs="Guttman Soncino" w:hint="cs"/>
          <w:noProof/>
          <w:snapToGrid w:val="0"/>
          <w:sz w:val="23"/>
          <w:szCs w:val="21"/>
          <w:rtl/>
        </w:rPr>
        <w:t>.</w:t>
      </w:r>
      <w:r w:rsidRPr="000867E7">
        <w:rPr>
          <w:rFonts w:ascii="Times New Roman" w:eastAsia="Times New Roman" w:hAnsi="Times New Roman" w:cs="oprFrank"/>
          <w:noProof/>
          <w:position w:val="-4"/>
          <w:sz w:val="26"/>
          <w:szCs w:val="26"/>
          <w:vertAlign w:val="superscript"/>
          <w:rtl/>
          <w:lang w:eastAsia="he-IL"/>
        </w:rPr>
        <w:endnoteReference w:id="3"/>
      </w:r>
    </w:p>
    <w:p w:rsidR="000867E7" w:rsidRPr="000867E7" w:rsidRDefault="000867E7" w:rsidP="000867E7">
      <w:pPr>
        <w:spacing w:after="120" w:line="380" w:lineRule="exact"/>
        <w:jc w:val="both"/>
        <w:rPr>
          <w:rFonts w:ascii="Times New Roman" w:eastAsia="Times New Roman" w:hAnsi="Times New Roman" w:cs="oprFrank" w:hint="cs"/>
          <w:sz w:val="26"/>
          <w:szCs w:val="27"/>
          <w:rtl/>
          <w:lang w:eastAsia="he-IL"/>
        </w:rPr>
      </w:pPr>
      <w:r w:rsidRPr="000867E7">
        <w:rPr>
          <w:rFonts w:ascii="Times New Roman" w:eastAsia="Times New Roman" w:hAnsi="Times New Roman" w:cs="oprFrank" w:hint="cs"/>
          <w:sz w:val="26"/>
          <w:szCs w:val="27"/>
          <w:rtl/>
          <w:lang w:eastAsia="he-IL"/>
        </w:rPr>
        <w:t>בכל חתונה באים לידי ביטוי שני ימי השידוכים המובהקים, יום הכיפורים וחמשה עשר באב, הראשון בתענית החתן והכלה ובתפלתם ביום חתונתם, בו נמחלים להם כל עוונותיהם</w:t>
      </w:r>
      <w:r w:rsidRPr="000867E7">
        <w:rPr>
          <w:rFonts w:ascii="Times New Roman" w:eastAsia="Times New Roman" w:hAnsi="Times New Roman" w:cs="oprFrank"/>
          <w:noProof/>
          <w:position w:val="-4"/>
          <w:sz w:val="26"/>
          <w:szCs w:val="26"/>
          <w:vertAlign w:val="superscript"/>
          <w:rtl/>
          <w:lang w:eastAsia="he-IL"/>
        </w:rPr>
        <w:endnoteReference w:id="4"/>
      </w:r>
      <w:r w:rsidRPr="000867E7">
        <w:rPr>
          <w:rFonts w:ascii="Times New Roman" w:eastAsia="Times New Roman" w:hAnsi="Times New Roman" w:cs="oprFrank" w:hint="cs"/>
          <w:sz w:val="26"/>
          <w:szCs w:val="27"/>
          <w:rtl/>
          <w:lang w:eastAsia="he-IL"/>
        </w:rPr>
        <w:t>, והשני בשמחה וברקודים בהמשך החתונה. והנה, מובא בספרים</w:t>
      </w:r>
      <w:r w:rsidRPr="000867E7">
        <w:rPr>
          <w:rFonts w:ascii="Times New Roman" w:eastAsia="Times New Roman" w:hAnsi="Times New Roman" w:cs="oprFrank"/>
          <w:noProof/>
          <w:position w:val="-4"/>
          <w:sz w:val="26"/>
          <w:szCs w:val="26"/>
          <w:vertAlign w:val="superscript"/>
          <w:rtl/>
          <w:lang w:eastAsia="he-IL"/>
        </w:rPr>
        <w:endnoteReference w:id="5"/>
      </w:r>
      <w:r w:rsidRPr="000867E7">
        <w:rPr>
          <w:rFonts w:ascii="Times New Roman" w:eastAsia="Times New Roman" w:hAnsi="Times New Roman" w:cs="oprFrank" w:hint="cs"/>
          <w:sz w:val="26"/>
          <w:szCs w:val="27"/>
          <w:rtl/>
          <w:lang w:eastAsia="he-IL"/>
        </w:rPr>
        <w:t xml:space="preserve"> כי מ</w:t>
      </w:r>
      <w:r w:rsidRPr="000867E7">
        <w:rPr>
          <w:rFonts w:ascii="Times New Roman" w:eastAsia="Times New Roman" w:hAnsi="Times New Roman" w:cs="oprFrank" w:hint="cs"/>
          <w:b/>
          <w:bCs/>
          <w:sz w:val="28"/>
          <w:szCs w:val="28"/>
          <w:rtl/>
          <w:lang w:eastAsia="he-IL"/>
        </w:rPr>
        <w:t>חמשה</w:t>
      </w:r>
      <w:r w:rsidRPr="000867E7">
        <w:rPr>
          <w:rFonts w:ascii="Times New Roman" w:eastAsia="Times New Roman" w:hAnsi="Times New Roman" w:cs="oprFrank" w:hint="cs"/>
          <w:sz w:val="26"/>
          <w:szCs w:val="27"/>
          <w:rtl/>
          <w:lang w:eastAsia="he-IL"/>
        </w:rPr>
        <w:t xml:space="preserve"> </w:t>
      </w:r>
      <w:r w:rsidRPr="000867E7">
        <w:rPr>
          <w:rFonts w:ascii="Times New Roman" w:eastAsia="Times New Roman" w:hAnsi="Times New Roman" w:cs="oprFrank" w:hint="cs"/>
          <w:b/>
          <w:bCs/>
          <w:sz w:val="28"/>
          <w:szCs w:val="28"/>
          <w:rtl/>
          <w:lang w:eastAsia="he-IL"/>
        </w:rPr>
        <w:t>עשר</w:t>
      </w:r>
      <w:r w:rsidRPr="000867E7">
        <w:rPr>
          <w:rFonts w:ascii="Times New Roman" w:eastAsia="Times New Roman" w:hAnsi="Times New Roman" w:cs="oprFrank" w:hint="cs"/>
          <w:sz w:val="26"/>
          <w:szCs w:val="27"/>
          <w:rtl/>
          <w:lang w:eastAsia="he-IL"/>
        </w:rPr>
        <w:t xml:space="preserve"> </w:t>
      </w:r>
      <w:r w:rsidRPr="000867E7">
        <w:rPr>
          <w:rFonts w:ascii="Times New Roman" w:eastAsia="Times New Roman" w:hAnsi="Times New Roman" w:cs="oprFrank" w:hint="cs"/>
          <w:b/>
          <w:bCs/>
          <w:sz w:val="28"/>
          <w:szCs w:val="28"/>
          <w:rtl/>
          <w:lang w:eastAsia="he-IL"/>
        </w:rPr>
        <w:t>באב</w:t>
      </w:r>
      <w:r w:rsidRPr="000867E7">
        <w:rPr>
          <w:rFonts w:ascii="Times New Roman" w:eastAsia="Times New Roman" w:hAnsi="Times New Roman" w:cs="oprFrank" w:hint="cs"/>
          <w:sz w:val="26"/>
          <w:szCs w:val="27"/>
          <w:rtl/>
          <w:lang w:eastAsia="he-IL"/>
        </w:rPr>
        <w:t xml:space="preserve"> נוהגים להתחיל ולאחל "</w:t>
      </w:r>
      <w:r w:rsidRPr="000867E7">
        <w:rPr>
          <w:rFonts w:ascii="Times New Roman" w:eastAsia="Times New Roman" w:hAnsi="Times New Roman" w:cs="oprFrank" w:hint="cs"/>
          <w:b/>
          <w:bCs/>
          <w:sz w:val="28"/>
          <w:szCs w:val="28"/>
          <w:rtl/>
          <w:lang w:eastAsia="he-IL"/>
        </w:rPr>
        <w:t>כתיבה</w:t>
      </w:r>
      <w:r w:rsidRPr="000867E7">
        <w:rPr>
          <w:rFonts w:ascii="Times New Roman" w:eastAsia="Times New Roman" w:hAnsi="Times New Roman" w:cs="oprFrank" w:hint="cs"/>
          <w:sz w:val="26"/>
          <w:szCs w:val="27"/>
          <w:rtl/>
          <w:lang w:eastAsia="he-IL"/>
        </w:rPr>
        <w:t xml:space="preserve"> </w:t>
      </w:r>
      <w:r w:rsidRPr="000867E7">
        <w:rPr>
          <w:rFonts w:ascii="Times New Roman" w:eastAsia="Times New Roman" w:hAnsi="Times New Roman" w:cs="oprFrank" w:hint="cs"/>
          <w:b/>
          <w:bCs/>
          <w:sz w:val="28"/>
          <w:szCs w:val="28"/>
          <w:rtl/>
          <w:lang w:eastAsia="he-IL"/>
        </w:rPr>
        <w:t>וחתימה</w:t>
      </w:r>
      <w:r w:rsidRPr="000867E7">
        <w:rPr>
          <w:rFonts w:ascii="Times New Roman" w:eastAsia="Times New Roman" w:hAnsi="Times New Roman" w:cs="oprFrank" w:hint="cs"/>
          <w:sz w:val="26"/>
          <w:szCs w:val="27"/>
          <w:rtl/>
          <w:lang w:eastAsia="he-IL"/>
        </w:rPr>
        <w:t xml:space="preserve"> </w:t>
      </w:r>
      <w:r w:rsidRPr="000867E7">
        <w:rPr>
          <w:rFonts w:ascii="Times New Roman" w:eastAsia="Times New Roman" w:hAnsi="Times New Roman" w:cs="oprFrank" w:hint="cs"/>
          <w:b/>
          <w:bCs/>
          <w:sz w:val="28"/>
          <w:szCs w:val="28"/>
          <w:rtl/>
          <w:lang w:eastAsia="he-IL"/>
        </w:rPr>
        <w:t>טובה</w:t>
      </w:r>
      <w:r w:rsidRPr="000867E7">
        <w:rPr>
          <w:rFonts w:ascii="Times New Roman" w:eastAsia="Times New Roman" w:hAnsi="Times New Roman" w:cs="oprFrank" w:hint="cs"/>
          <w:sz w:val="26"/>
          <w:szCs w:val="27"/>
          <w:rtl/>
          <w:lang w:eastAsia="he-IL"/>
        </w:rPr>
        <w:t>" (</w:t>
      </w:r>
      <w:proofErr w:type="spellStart"/>
      <w:r w:rsidRPr="000867E7">
        <w:rPr>
          <w:rFonts w:ascii="Times New Roman" w:eastAsia="Times New Roman" w:hAnsi="Times New Roman" w:cs="oprFrank" w:hint="cs"/>
          <w:sz w:val="26"/>
          <w:szCs w:val="27"/>
          <w:rtl/>
          <w:lang w:eastAsia="he-IL"/>
        </w:rPr>
        <w:t>השוים</w:t>
      </w:r>
      <w:proofErr w:type="spellEnd"/>
      <w:r w:rsidRPr="000867E7">
        <w:rPr>
          <w:rFonts w:ascii="Times New Roman" w:eastAsia="Times New Roman" w:hAnsi="Times New Roman" w:cs="oprFrank" w:hint="cs"/>
          <w:sz w:val="26"/>
          <w:szCs w:val="27"/>
          <w:rtl/>
          <w:lang w:eastAsia="he-IL"/>
        </w:rPr>
        <w:t xml:space="preserve"> בחשבון </w:t>
      </w:r>
      <w:proofErr w:type="spellStart"/>
      <w:r w:rsidRPr="000867E7">
        <w:rPr>
          <w:rFonts w:ascii="Times New Roman" w:eastAsia="Times New Roman" w:hAnsi="Times New Roman" w:cs="oprFrank" w:hint="cs"/>
          <w:sz w:val="26"/>
          <w:szCs w:val="27"/>
          <w:rtl/>
          <w:lang w:eastAsia="he-IL"/>
        </w:rPr>
        <w:t>הגימטריא</w:t>
      </w:r>
      <w:proofErr w:type="spellEnd"/>
      <w:r w:rsidRPr="000867E7">
        <w:rPr>
          <w:rFonts w:ascii="Times New Roman" w:eastAsia="Times New Roman" w:hAnsi="Times New Roman" w:cs="oprFrank" w:hint="cs"/>
          <w:sz w:val="26"/>
          <w:szCs w:val="27"/>
          <w:rtl/>
          <w:lang w:eastAsia="he-IL"/>
        </w:rPr>
        <w:t xml:space="preserve"> שלהם), כאשר גמר החתימה הטובה הוא ביום הכפורים</w:t>
      </w:r>
      <w:bookmarkStart w:id="2" w:name="_Ref301293961"/>
      <w:r w:rsidRPr="000867E7">
        <w:rPr>
          <w:rFonts w:ascii="Times New Roman" w:eastAsia="Times New Roman" w:hAnsi="Times New Roman" w:cs="oprFrank"/>
          <w:noProof/>
          <w:position w:val="-4"/>
          <w:sz w:val="26"/>
          <w:szCs w:val="26"/>
          <w:vertAlign w:val="superscript"/>
          <w:rtl/>
          <w:lang w:eastAsia="he-IL"/>
        </w:rPr>
        <w:endnoteReference w:id="6"/>
      </w:r>
      <w:bookmarkEnd w:id="2"/>
      <w:r w:rsidRPr="000867E7">
        <w:rPr>
          <w:rFonts w:ascii="Times New Roman" w:eastAsia="Times New Roman" w:hAnsi="Times New Roman" w:cs="oprFrank" w:hint="cs"/>
          <w:sz w:val="26"/>
          <w:szCs w:val="27"/>
          <w:rtl/>
          <w:lang w:eastAsia="he-IL"/>
        </w:rPr>
        <w:t>. הכתיבה והחתימה הטובה הן "לשנה טובה ומתוקה", שנה תמימה של "ושמח את אשתו"</w:t>
      </w:r>
      <w:r w:rsidRPr="000867E7">
        <w:rPr>
          <w:rFonts w:ascii="Times New Roman" w:eastAsia="Times New Roman" w:hAnsi="Times New Roman" w:cs="oprFrank"/>
          <w:noProof/>
          <w:position w:val="-4"/>
          <w:sz w:val="26"/>
          <w:szCs w:val="26"/>
          <w:vertAlign w:val="superscript"/>
          <w:rtl/>
          <w:lang w:eastAsia="he-IL"/>
        </w:rPr>
        <w:endnoteReference w:id="7"/>
      </w:r>
      <w:r w:rsidRPr="000867E7">
        <w:rPr>
          <w:rFonts w:ascii="Times New Roman" w:eastAsia="Times New Roman" w:hAnsi="Times New Roman" w:cs="oprFrank" w:hint="cs"/>
          <w:sz w:val="26"/>
          <w:szCs w:val="27"/>
          <w:rtl/>
          <w:lang w:eastAsia="he-IL"/>
        </w:rPr>
        <w:t>.</w:t>
      </w:r>
    </w:p>
    <w:p w:rsidR="000867E7" w:rsidRPr="000867E7" w:rsidRDefault="000867E7" w:rsidP="000867E7">
      <w:pPr>
        <w:spacing w:after="120" w:line="380" w:lineRule="exact"/>
        <w:jc w:val="both"/>
        <w:rPr>
          <w:rFonts w:ascii="Times New Roman" w:eastAsia="Times New Roman" w:hAnsi="Times New Roman" w:cs="oprFrank" w:hint="cs"/>
          <w:sz w:val="26"/>
          <w:szCs w:val="27"/>
          <w:rtl/>
          <w:lang w:eastAsia="he-IL"/>
        </w:rPr>
      </w:pPr>
      <w:r w:rsidRPr="000867E7">
        <w:rPr>
          <w:rFonts w:ascii="Times New Roman" w:eastAsia="Times New Roman" w:hAnsi="Times New Roman" w:cs="oprFrank" w:hint="cs"/>
          <w:sz w:val="26"/>
          <w:szCs w:val="27"/>
          <w:rtl/>
          <w:lang w:eastAsia="he-IL"/>
        </w:rPr>
        <w:t>מהן הכתיבה והחתימה בנישואין? שני המעשים העיקריים שנעשים בחתונה הם הקידושין, אותם נוהגים לעשות בטבעת</w:t>
      </w:r>
      <w:r w:rsidRPr="000867E7">
        <w:rPr>
          <w:rFonts w:ascii="Times New Roman" w:eastAsia="Times New Roman" w:hAnsi="Times New Roman" w:cs="oprFrank"/>
          <w:noProof/>
          <w:position w:val="-4"/>
          <w:sz w:val="26"/>
          <w:szCs w:val="26"/>
          <w:vertAlign w:val="superscript"/>
          <w:rtl/>
          <w:lang w:eastAsia="he-IL"/>
        </w:rPr>
        <w:endnoteReference w:id="8"/>
      </w:r>
      <w:r w:rsidRPr="000867E7">
        <w:rPr>
          <w:rFonts w:ascii="Times New Roman" w:eastAsia="Times New Roman" w:hAnsi="Times New Roman" w:cs="oprFrank" w:hint="cs"/>
          <w:sz w:val="26"/>
          <w:szCs w:val="27"/>
          <w:rtl/>
          <w:lang w:eastAsia="he-IL"/>
        </w:rPr>
        <w:t xml:space="preserve"> (כ"מנהג ישראל תורה"</w:t>
      </w:r>
      <w:r w:rsidRPr="000867E7">
        <w:rPr>
          <w:rFonts w:ascii="Times New Roman" w:eastAsia="Times New Roman" w:hAnsi="Times New Roman" w:cs="oprFrank"/>
          <w:noProof/>
          <w:position w:val="-4"/>
          <w:sz w:val="26"/>
          <w:szCs w:val="26"/>
          <w:vertAlign w:val="superscript"/>
          <w:rtl/>
          <w:lang w:eastAsia="he-IL"/>
        </w:rPr>
        <w:endnoteReference w:id="9"/>
      </w:r>
      <w:r w:rsidRPr="000867E7">
        <w:rPr>
          <w:rFonts w:ascii="Times New Roman" w:eastAsia="Times New Roman" w:hAnsi="Times New Roman" w:cs="oprFrank" w:hint="cs"/>
          <w:sz w:val="26"/>
          <w:szCs w:val="27"/>
          <w:rtl/>
          <w:lang w:eastAsia="he-IL"/>
        </w:rPr>
        <w:t xml:space="preserve">), וקנין החופה, אליו קשורה גם הכתובה, הכוללת את </w:t>
      </w:r>
      <w:proofErr w:type="spellStart"/>
      <w:r w:rsidRPr="000867E7">
        <w:rPr>
          <w:rFonts w:ascii="Times New Roman" w:eastAsia="Times New Roman" w:hAnsi="Times New Roman" w:cs="oprFrank" w:hint="cs"/>
          <w:sz w:val="26"/>
          <w:szCs w:val="27"/>
          <w:rtl/>
          <w:lang w:eastAsia="he-IL"/>
        </w:rPr>
        <w:t>התחיבויות</w:t>
      </w:r>
      <w:proofErr w:type="spellEnd"/>
      <w:r w:rsidRPr="000867E7">
        <w:rPr>
          <w:rFonts w:ascii="Times New Roman" w:eastAsia="Times New Roman" w:hAnsi="Times New Roman" w:cs="oprFrank" w:hint="cs"/>
          <w:sz w:val="26"/>
          <w:szCs w:val="27"/>
          <w:rtl/>
          <w:lang w:eastAsia="he-IL"/>
        </w:rPr>
        <w:t xml:space="preserve"> החתן לכלתו (מדאורייתא ומתקנת חכמים) החל מהנישואין</w:t>
      </w:r>
      <w:r w:rsidRPr="000867E7">
        <w:rPr>
          <w:rFonts w:ascii="Times New Roman" w:eastAsia="Times New Roman" w:hAnsi="Times New Roman" w:cs="oprFrank"/>
          <w:noProof/>
          <w:position w:val="-4"/>
          <w:sz w:val="26"/>
          <w:szCs w:val="26"/>
          <w:vertAlign w:val="superscript"/>
          <w:rtl/>
          <w:lang w:eastAsia="he-IL"/>
        </w:rPr>
        <w:endnoteReference w:id="10"/>
      </w:r>
      <w:r w:rsidRPr="000867E7">
        <w:rPr>
          <w:rFonts w:ascii="Times New Roman" w:eastAsia="Times New Roman" w:hAnsi="Times New Roman" w:cs="oprFrank" w:hint="cs"/>
          <w:sz w:val="26"/>
          <w:szCs w:val="27"/>
          <w:rtl/>
          <w:lang w:eastAsia="he-IL"/>
        </w:rPr>
        <w:t>. ה</w:t>
      </w:r>
      <w:r w:rsidRPr="000867E7">
        <w:rPr>
          <w:rFonts w:ascii="Times New Roman" w:eastAsia="Times New Roman" w:hAnsi="Times New Roman" w:cs="MiriamMFO" w:hint="cs"/>
          <w:sz w:val="21"/>
          <w:szCs w:val="23"/>
          <w:rtl/>
          <w:lang w:eastAsia="he-IL"/>
        </w:rPr>
        <w:t>כתובה</w:t>
      </w:r>
      <w:r w:rsidRPr="000867E7">
        <w:rPr>
          <w:rFonts w:ascii="Times New Roman" w:eastAsia="Times New Roman" w:hAnsi="Times New Roman" w:cs="oprFrank" w:hint="cs"/>
          <w:sz w:val="26"/>
          <w:szCs w:val="27"/>
          <w:rtl/>
          <w:lang w:eastAsia="he-IL"/>
        </w:rPr>
        <w:t xml:space="preserve"> היא סוד ה</w:t>
      </w:r>
      <w:r w:rsidRPr="000867E7">
        <w:rPr>
          <w:rFonts w:ascii="Times New Roman" w:eastAsia="Times New Roman" w:hAnsi="Times New Roman" w:cs="MiriamMFO" w:hint="cs"/>
          <w:sz w:val="21"/>
          <w:szCs w:val="23"/>
          <w:rtl/>
          <w:lang w:eastAsia="he-IL"/>
        </w:rPr>
        <w:t>כתיבה</w:t>
      </w:r>
      <w:r w:rsidRPr="000867E7">
        <w:rPr>
          <w:rFonts w:ascii="Times New Roman" w:eastAsia="Times New Roman" w:hAnsi="Times New Roman" w:cs="oprFrank" w:hint="cs"/>
          <w:sz w:val="26"/>
          <w:szCs w:val="27"/>
          <w:rtl/>
          <w:lang w:eastAsia="he-IL"/>
        </w:rPr>
        <w:t xml:space="preserve"> הטובה, ואילו מסירת הטבעת היא סוד החתימה הטובה, משום שעיקר ענינה של הטבעת היא החותם שבה </w:t>
      </w:r>
      <w:r w:rsidRPr="000867E7">
        <w:rPr>
          <w:rFonts w:ascii="Times New Roman" w:eastAsia="Times New Roman" w:hAnsi="Times New Roman" w:cs="oprFrank"/>
          <w:sz w:val="26"/>
          <w:szCs w:val="27"/>
          <w:rtl/>
          <w:lang w:eastAsia="he-IL"/>
        </w:rPr>
        <w:t>–</w:t>
      </w:r>
      <w:r w:rsidRPr="000867E7">
        <w:rPr>
          <w:rFonts w:ascii="Times New Roman" w:eastAsia="Times New Roman" w:hAnsi="Times New Roman" w:cs="oprFrank" w:hint="cs"/>
          <w:sz w:val="26"/>
          <w:szCs w:val="27"/>
          <w:rtl/>
          <w:lang w:eastAsia="he-IL"/>
        </w:rPr>
        <w:t xml:space="preserve"> "ונחתום בטבעת המלך"</w:t>
      </w:r>
      <w:r w:rsidRPr="000867E7">
        <w:rPr>
          <w:rFonts w:ascii="Times New Roman" w:eastAsia="Times New Roman" w:hAnsi="Times New Roman" w:cs="oprFrank"/>
          <w:noProof/>
          <w:position w:val="-4"/>
          <w:sz w:val="26"/>
          <w:szCs w:val="26"/>
          <w:vertAlign w:val="superscript"/>
          <w:rtl/>
          <w:lang w:eastAsia="he-IL"/>
        </w:rPr>
        <w:endnoteReference w:id="11"/>
      </w:r>
      <w:r w:rsidRPr="000867E7">
        <w:rPr>
          <w:rFonts w:ascii="Times New Roman" w:eastAsia="Times New Roman" w:hAnsi="Times New Roman" w:cs="oprFrank" w:hint="cs"/>
          <w:sz w:val="26"/>
          <w:szCs w:val="27"/>
          <w:rtl/>
          <w:lang w:eastAsia="he-IL"/>
        </w:rPr>
        <w:t>.</w:t>
      </w:r>
    </w:p>
    <w:p w:rsidR="000867E7" w:rsidRPr="000867E7" w:rsidRDefault="000867E7" w:rsidP="000867E7">
      <w:pPr>
        <w:spacing w:after="120" w:line="380" w:lineRule="exact"/>
        <w:jc w:val="both"/>
        <w:rPr>
          <w:rFonts w:ascii="Times New Roman" w:eastAsia="Times New Roman" w:hAnsi="Times New Roman" w:cs="oprFrank" w:hint="cs"/>
          <w:sz w:val="26"/>
          <w:szCs w:val="27"/>
          <w:rtl/>
          <w:lang w:eastAsia="he-IL"/>
        </w:rPr>
      </w:pPr>
      <w:r w:rsidRPr="000867E7">
        <w:rPr>
          <w:rFonts w:ascii="Times New Roman" w:eastAsia="Times New Roman" w:hAnsi="Times New Roman" w:cs="oprFrank" w:hint="cs"/>
          <w:sz w:val="26"/>
          <w:szCs w:val="27"/>
          <w:rtl/>
          <w:lang w:eastAsia="he-IL"/>
        </w:rPr>
        <w:t xml:space="preserve">ההופעה הראשונה של טבעת בתורה היא בפסוק "ויסר פרעה את טבעתו מעל ידו </w:t>
      </w:r>
      <w:proofErr w:type="spellStart"/>
      <w:r w:rsidRPr="000867E7">
        <w:rPr>
          <w:rFonts w:ascii="Times New Roman" w:eastAsia="Times New Roman" w:hAnsi="Times New Roman" w:cs="oprFrank" w:hint="cs"/>
          <w:sz w:val="26"/>
          <w:szCs w:val="27"/>
          <w:rtl/>
          <w:lang w:eastAsia="he-IL"/>
        </w:rPr>
        <w:t>ויתן</w:t>
      </w:r>
      <w:proofErr w:type="spellEnd"/>
      <w:r w:rsidRPr="000867E7">
        <w:rPr>
          <w:rFonts w:ascii="Times New Roman" w:eastAsia="Times New Roman" w:hAnsi="Times New Roman" w:cs="oprFrank" w:hint="cs"/>
          <w:sz w:val="26"/>
          <w:szCs w:val="27"/>
          <w:rtl/>
          <w:lang w:eastAsia="he-IL"/>
        </w:rPr>
        <w:t xml:space="preserve"> אֹתה על יד יוסף"</w:t>
      </w:r>
      <w:r w:rsidRPr="000867E7">
        <w:rPr>
          <w:rFonts w:ascii="Times New Roman" w:eastAsia="Times New Roman" w:hAnsi="Times New Roman" w:cs="oprFrank"/>
          <w:noProof/>
          <w:position w:val="-4"/>
          <w:sz w:val="26"/>
          <w:szCs w:val="26"/>
          <w:vertAlign w:val="superscript"/>
          <w:rtl/>
          <w:lang w:eastAsia="he-IL"/>
        </w:rPr>
        <w:endnoteReference w:id="12"/>
      </w:r>
      <w:r w:rsidRPr="000867E7">
        <w:rPr>
          <w:rFonts w:ascii="Times New Roman" w:eastAsia="Times New Roman" w:hAnsi="Times New Roman" w:cs="oprFrank" w:hint="cs"/>
          <w:sz w:val="26"/>
          <w:szCs w:val="27"/>
          <w:rtl/>
          <w:lang w:eastAsia="he-IL"/>
        </w:rPr>
        <w:t>. רש"י רק קושר את נתינת הטבעת לכך שהמלך מינה את יוסף למשנהו, אבל הרמב"ן כותב "</w:t>
      </w:r>
      <w:r w:rsidRPr="000867E7">
        <w:rPr>
          <w:rFonts w:ascii="Times New Roman" w:eastAsia="Times New Roman" w:hAnsi="Times New Roman" w:cs="oprFrank"/>
          <w:sz w:val="26"/>
          <w:szCs w:val="27"/>
          <w:rtl/>
          <w:lang w:eastAsia="he-IL"/>
        </w:rPr>
        <w:t xml:space="preserve">הנכון שטבעת המלך היא חותמו, </w:t>
      </w:r>
      <w:proofErr w:type="spellStart"/>
      <w:r w:rsidRPr="000867E7">
        <w:rPr>
          <w:rFonts w:ascii="Times New Roman" w:eastAsia="Times New Roman" w:hAnsi="Times New Roman" w:cs="oprFrank"/>
          <w:sz w:val="26"/>
          <w:szCs w:val="27"/>
          <w:rtl/>
          <w:lang w:eastAsia="he-IL"/>
        </w:rPr>
        <w:t>כענין</w:t>
      </w:r>
      <w:proofErr w:type="spellEnd"/>
      <w:r w:rsidRPr="000867E7">
        <w:rPr>
          <w:rFonts w:ascii="Times New Roman" w:eastAsia="Times New Roman" w:hAnsi="Times New Roman" w:cs="oprFrank"/>
          <w:sz w:val="26"/>
          <w:szCs w:val="27"/>
          <w:rtl/>
          <w:lang w:eastAsia="he-IL"/>
        </w:rPr>
        <w:t xml:space="preserve"> </w:t>
      </w:r>
      <w:r w:rsidRPr="000867E7">
        <w:rPr>
          <w:rFonts w:ascii="Times New Roman" w:eastAsia="Times New Roman" w:hAnsi="Times New Roman" w:cs="oprFrank" w:hint="cs"/>
          <w:sz w:val="26"/>
          <w:szCs w:val="27"/>
          <w:rtl/>
          <w:lang w:eastAsia="he-IL"/>
        </w:rPr>
        <w:t>'</w:t>
      </w:r>
      <w:r w:rsidRPr="000867E7">
        <w:rPr>
          <w:rFonts w:ascii="Times New Roman" w:eastAsia="Times New Roman" w:hAnsi="Times New Roman" w:cs="oprFrank"/>
          <w:sz w:val="26"/>
          <w:szCs w:val="27"/>
          <w:rtl/>
          <w:lang w:eastAsia="he-IL"/>
        </w:rPr>
        <w:t>וחתמו בטבעת המלך</w:t>
      </w:r>
      <w:r w:rsidRPr="000867E7">
        <w:rPr>
          <w:rFonts w:ascii="Times New Roman" w:eastAsia="Times New Roman" w:hAnsi="Times New Roman" w:cs="oprFrank" w:hint="cs"/>
          <w:sz w:val="26"/>
          <w:szCs w:val="27"/>
          <w:rtl/>
          <w:lang w:eastAsia="he-IL"/>
        </w:rPr>
        <w:t>'</w:t>
      </w:r>
      <w:r w:rsidRPr="000867E7">
        <w:rPr>
          <w:rFonts w:ascii="Times New Roman" w:eastAsia="Times New Roman" w:hAnsi="Times New Roman" w:cs="oprFrank"/>
          <w:noProof/>
          <w:position w:val="-4"/>
          <w:sz w:val="26"/>
          <w:szCs w:val="26"/>
          <w:vertAlign w:val="superscript"/>
          <w:rtl/>
          <w:lang w:eastAsia="he-IL"/>
        </w:rPr>
        <w:endnoteReference w:id="13"/>
      </w:r>
      <w:r w:rsidRPr="000867E7">
        <w:rPr>
          <w:rFonts w:ascii="Times New Roman" w:eastAsia="Times New Roman" w:hAnsi="Times New Roman" w:cs="oprFrank"/>
          <w:sz w:val="26"/>
          <w:szCs w:val="27"/>
          <w:rtl/>
          <w:lang w:eastAsia="he-IL"/>
        </w:rPr>
        <w:t>, והנה נתן לו החותם להיות נגיד ומצוה בכל המלכות, ויחתום בטבעת המלך כל אשר יחפוץ</w:t>
      </w:r>
      <w:r w:rsidRPr="000867E7">
        <w:rPr>
          <w:rFonts w:ascii="Times New Roman" w:eastAsia="Times New Roman" w:hAnsi="Times New Roman" w:cs="oprFrank" w:hint="cs"/>
          <w:sz w:val="26"/>
          <w:szCs w:val="27"/>
          <w:rtl/>
          <w:lang w:eastAsia="he-IL"/>
        </w:rPr>
        <w:t>". רבינו בחיי מציין כי הדבר שייך בפרט לפעולת המלך במינויו השונים, "משפיל גאים ומגביה שפלים"</w:t>
      </w:r>
      <w:r w:rsidRPr="000867E7">
        <w:rPr>
          <w:rFonts w:ascii="Times New Roman" w:eastAsia="Times New Roman" w:hAnsi="Times New Roman" w:cs="oprFrank"/>
          <w:noProof/>
          <w:position w:val="-4"/>
          <w:sz w:val="26"/>
          <w:szCs w:val="26"/>
          <w:vertAlign w:val="superscript"/>
          <w:rtl/>
          <w:lang w:eastAsia="he-IL"/>
        </w:rPr>
        <w:endnoteReference w:id="14"/>
      </w:r>
      <w:r w:rsidRPr="000867E7">
        <w:rPr>
          <w:rFonts w:ascii="Times New Roman" w:eastAsia="Times New Roman" w:hAnsi="Times New Roman" w:cs="oprFrank" w:hint="cs"/>
          <w:sz w:val="26"/>
          <w:szCs w:val="27"/>
          <w:rtl/>
          <w:lang w:eastAsia="he-IL"/>
        </w:rPr>
        <w:t>: "</w:t>
      </w:r>
      <w:r w:rsidRPr="000867E7">
        <w:rPr>
          <w:rFonts w:ascii="Times New Roman" w:eastAsia="Times New Roman" w:hAnsi="Times New Roman" w:cs="oprFrank"/>
          <w:sz w:val="26"/>
          <w:szCs w:val="27"/>
          <w:rtl/>
          <w:lang w:eastAsia="he-IL"/>
        </w:rPr>
        <w:t xml:space="preserve">מסר </w:t>
      </w:r>
      <w:r w:rsidRPr="000867E7">
        <w:rPr>
          <w:rFonts w:ascii="Times New Roman" w:eastAsia="Times New Roman" w:hAnsi="Times New Roman" w:cs="oprFrank"/>
          <w:sz w:val="26"/>
          <w:szCs w:val="27"/>
          <w:rtl/>
          <w:lang w:eastAsia="he-IL"/>
        </w:rPr>
        <w:lastRenderedPageBreak/>
        <w:t xml:space="preserve">לו חותמו שהוא חותם בו למנות שרים ולהוריד שרים </w:t>
      </w:r>
      <w:proofErr w:type="spellStart"/>
      <w:r w:rsidRPr="000867E7">
        <w:rPr>
          <w:rFonts w:ascii="Times New Roman" w:eastAsia="Times New Roman" w:hAnsi="Times New Roman" w:cs="oprFrank"/>
          <w:sz w:val="26"/>
          <w:szCs w:val="27"/>
          <w:rtl/>
          <w:lang w:eastAsia="he-IL"/>
        </w:rPr>
        <w:t>משררותם</w:t>
      </w:r>
      <w:proofErr w:type="spellEnd"/>
      <w:r w:rsidRPr="000867E7">
        <w:rPr>
          <w:rFonts w:ascii="Times New Roman" w:eastAsia="Times New Roman" w:hAnsi="Times New Roman" w:cs="oprFrank" w:hint="cs"/>
          <w:sz w:val="26"/>
          <w:szCs w:val="27"/>
          <w:rtl/>
          <w:lang w:eastAsia="he-IL"/>
        </w:rPr>
        <w:t>".</w:t>
      </w:r>
    </w:p>
    <w:p w:rsidR="000867E7" w:rsidRPr="000867E7" w:rsidRDefault="000867E7" w:rsidP="000867E7">
      <w:pPr>
        <w:spacing w:after="120" w:line="380" w:lineRule="exact"/>
        <w:jc w:val="both"/>
        <w:rPr>
          <w:rFonts w:ascii="Times New Roman" w:eastAsia="Times New Roman" w:hAnsi="Times New Roman" w:cs="oprFrank" w:hint="cs"/>
          <w:sz w:val="26"/>
          <w:szCs w:val="27"/>
          <w:rtl/>
          <w:lang w:eastAsia="he-IL"/>
        </w:rPr>
      </w:pPr>
      <w:r w:rsidRPr="000867E7">
        <w:rPr>
          <w:rFonts w:ascii="Times New Roman" w:eastAsia="Times New Roman" w:hAnsi="Times New Roman" w:cs="oprFrank" w:hint="cs"/>
          <w:sz w:val="26"/>
          <w:szCs w:val="27"/>
          <w:rtl/>
          <w:lang w:eastAsia="he-IL"/>
        </w:rPr>
        <w:t xml:space="preserve">אם כן, הכתיבה מבטאת את </w:t>
      </w:r>
      <w:proofErr w:type="spellStart"/>
      <w:r w:rsidRPr="000867E7">
        <w:rPr>
          <w:rFonts w:ascii="Times New Roman" w:eastAsia="Times New Roman" w:hAnsi="Times New Roman" w:cs="oprFrank" w:hint="cs"/>
          <w:sz w:val="26"/>
          <w:szCs w:val="27"/>
          <w:rtl/>
          <w:lang w:eastAsia="he-IL"/>
        </w:rPr>
        <w:t>כחו</w:t>
      </w:r>
      <w:proofErr w:type="spellEnd"/>
      <w:r w:rsidRPr="000867E7">
        <w:rPr>
          <w:rFonts w:ascii="Times New Roman" w:eastAsia="Times New Roman" w:hAnsi="Times New Roman" w:cs="oprFrank" w:hint="cs"/>
          <w:sz w:val="26"/>
          <w:szCs w:val="27"/>
          <w:rtl/>
          <w:lang w:eastAsia="he-IL"/>
        </w:rPr>
        <w:t xml:space="preserve"> ותפקידו של האיש, שצריך לבוא לידי ביטוי בלקיחת האחריות המפורטת בכתובה. החתימה, לעומת זאת, היא </w:t>
      </w:r>
      <w:proofErr w:type="spellStart"/>
      <w:r w:rsidRPr="000867E7">
        <w:rPr>
          <w:rFonts w:ascii="Times New Roman" w:eastAsia="Times New Roman" w:hAnsi="Times New Roman" w:cs="oprFrank" w:hint="cs"/>
          <w:sz w:val="26"/>
          <w:szCs w:val="27"/>
          <w:rtl/>
          <w:lang w:eastAsia="he-IL"/>
        </w:rPr>
        <w:t>כחה</w:t>
      </w:r>
      <w:proofErr w:type="spellEnd"/>
      <w:r w:rsidRPr="000867E7">
        <w:rPr>
          <w:rFonts w:ascii="Times New Roman" w:eastAsia="Times New Roman" w:hAnsi="Times New Roman" w:cs="oprFrank" w:hint="cs"/>
          <w:sz w:val="26"/>
          <w:szCs w:val="27"/>
          <w:rtl/>
          <w:lang w:eastAsia="he-IL"/>
        </w:rPr>
        <w:t xml:space="preserve"> המיוחד של </w:t>
      </w:r>
      <w:proofErr w:type="spellStart"/>
      <w:r w:rsidRPr="000867E7">
        <w:rPr>
          <w:rFonts w:ascii="Times New Roman" w:eastAsia="Times New Roman" w:hAnsi="Times New Roman" w:cs="oprFrank" w:hint="cs"/>
          <w:sz w:val="26"/>
          <w:szCs w:val="27"/>
          <w:rtl/>
          <w:lang w:eastAsia="he-IL"/>
        </w:rPr>
        <w:t>האשה</w:t>
      </w:r>
      <w:proofErr w:type="spellEnd"/>
      <w:r w:rsidRPr="000867E7">
        <w:rPr>
          <w:rFonts w:ascii="Times New Roman" w:eastAsia="Times New Roman" w:hAnsi="Times New Roman" w:cs="oprFrank" w:hint="cs"/>
          <w:sz w:val="26"/>
          <w:szCs w:val="27"/>
          <w:rtl/>
          <w:lang w:eastAsia="he-IL"/>
        </w:rPr>
        <w:t xml:space="preserve"> (ואכן, כוונות הנעילה, שיאה של החתימה הטובה ביום כיפור, הן תיקון החותם שביסוד </w:t>
      </w:r>
      <w:proofErr w:type="spellStart"/>
      <w:r w:rsidRPr="000867E7">
        <w:rPr>
          <w:rFonts w:ascii="Times New Roman" w:eastAsia="Times New Roman" w:hAnsi="Times New Roman" w:cs="oprFrank" w:hint="cs"/>
          <w:sz w:val="26"/>
          <w:szCs w:val="27"/>
          <w:rtl/>
          <w:lang w:eastAsia="he-IL"/>
        </w:rPr>
        <w:t>הנוקבא</w:t>
      </w:r>
      <w:proofErr w:type="spellEnd"/>
      <w:r w:rsidRPr="000867E7">
        <w:rPr>
          <w:rFonts w:ascii="Times New Roman" w:eastAsia="Times New Roman" w:hAnsi="Times New Roman" w:cs="oprFrank"/>
          <w:noProof/>
          <w:position w:val="-4"/>
          <w:sz w:val="26"/>
          <w:szCs w:val="26"/>
          <w:vertAlign w:val="superscript"/>
          <w:rtl/>
          <w:lang w:eastAsia="he-IL"/>
        </w:rPr>
        <w:endnoteReference w:id="15"/>
      </w:r>
      <w:r w:rsidRPr="000867E7">
        <w:rPr>
          <w:rFonts w:ascii="Times New Roman" w:eastAsia="Times New Roman" w:hAnsi="Times New Roman" w:cs="oprFrank" w:hint="cs"/>
          <w:sz w:val="26"/>
          <w:szCs w:val="27"/>
          <w:rtl/>
          <w:lang w:eastAsia="he-IL"/>
        </w:rPr>
        <w:t>, הכנת הכלה לנישואין). בנתינת הטבעת לאשתו צריך לכוון ה"חתן דומה למלך"</w:t>
      </w:r>
      <w:r w:rsidRPr="000867E7">
        <w:rPr>
          <w:rFonts w:ascii="Times New Roman" w:eastAsia="Times New Roman" w:hAnsi="Times New Roman" w:cs="oprFrank"/>
          <w:noProof/>
          <w:position w:val="-4"/>
          <w:sz w:val="26"/>
          <w:szCs w:val="26"/>
          <w:vertAlign w:val="superscript"/>
          <w:rtl/>
          <w:lang w:eastAsia="he-IL"/>
        </w:rPr>
        <w:endnoteReference w:id="16"/>
      </w:r>
      <w:r w:rsidRPr="000867E7">
        <w:rPr>
          <w:rFonts w:ascii="Times New Roman" w:eastAsia="Times New Roman" w:hAnsi="Times New Roman" w:cs="oprFrank" w:hint="cs"/>
          <w:sz w:val="26"/>
          <w:szCs w:val="27"/>
          <w:rtl/>
          <w:lang w:eastAsia="he-IL"/>
        </w:rPr>
        <w:t xml:space="preserve"> כי הוא מסיר את טבעתו מעל ידו ומוסר לאשתו את </w:t>
      </w:r>
      <w:proofErr w:type="spellStart"/>
      <w:r w:rsidRPr="000867E7">
        <w:rPr>
          <w:rFonts w:ascii="Times New Roman" w:eastAsia="Times New Roman" w:hAnsi="Times New Roman" w:cs="oprFrank" w:hint="cs"/>
          <w:sz w:val="26"/>
          <w:szCs w:val="27"/>
          <w:rtl/>
          <w:lang w:eastAsia="he-IL"/>
        </w:rPr>
        <w:t>כח</w:t>
      </w:r>
      <w:proofErr w:type="spellEnd"/>
      <w:r w:rsidRPr="000867E7">
        <w:rPr>
          <w:rFonts w:ascii="Times New Roman" w:eastAsia="Times New Roman" w:hAnsi="Times New Roman" w:cs="oprFrank" w:hint="cs"/>
          <w:sz w:val="26"/>
          <w:szCs w:val="27"/>
          <w:rtl/>
          <w:lang w:eastAsia="he-IL"/>
        </w:rPr>
        <w:t xml:space="preserve"> החתימה-ההחלטה בבית. הוא הכותב, היוזם והמציע, ואולי מבחינה זו הוא הראשון במלכות ואשתו המשנה לו, אך החתימה המלכותית הסופית שייכת לאשתו דווקא. כמובן, ככל שהאיש 'כותב' טוב ומדויק יותר, כך סיכויו רבים יותר לחתימה ואישור של אשתו, ואילו אם כתיבתו נגועה בבעיות, ולכל לראש כאשר היא נובעת מישות </w:t>
      </w:r>
      <w:proofErr w:type="spellStart"/>
      <w:r w:rsidRPr="000867E7">
        <w:rPr>
          <w:rFonts w:ascii="Times New Roman" w:eastAsia="Times New Roman" w:hAnsi="Times New Roman" w:cs="oprFrank" w:hint="cs"/>
          <w:sz w:val="26"/>
          <w:szCs w:val="27"/>
          <w:rtl/>
          <w:lang w:eastAsia="he-IL"/>
        </w:rPr>
        <w:t>וגאוה</w:t>
      </w:r>
      <w:proofErr w:type="spellEnd"/>
      <w:r w:rsidRPr="000867E7">
        <w:rPr>
          <w:rFonts w:ascii="Times New Roman" w:eastAsia="Times New Roman" w:hAnsi="Times New Roman" w:cs="oprFrank" w:hint="cs"/>
          <w:sz w:val="26"/>
          <w:szCs w:val="27"/>
          <w:rtl/>
          <w:lang w:eastAsia="he-IL"/>
        </w:rPr>
        <w:t xml:space="preserve">, אשתו תשלול ממנו את החתימה ובכך תכוון אותו ליוזמות טובות ומבוררות יותר </w:t>
      </w:r>
      <w:r w:rsidRPr="000867E7">
        <w:rPr>
          <w:rFonts w:ascii="Times New Roman" w:eastAsia="Times New Roman" w:hAnsi="Times New Roman" w:cs="oprFrank"/>
          <w:sz w:val="26"/>
          <w:szCs w:val="27"/>
          <w:rtl/>
          <w:lang w:eastAsia="he-IL"/>
        </w:rPr>
        <w:t>–</w:t>
      </w:r>
      <w:r w:rsidRPr="000867E7">
        <w:rPr>
          <w:rFonts w:ascii="Times New Roman" w:eastAsia="Times New Roman" w:hAnsi="Times New Roman" w:cs="oprFrank" w:hint="cs"/>
          <w:sz w:val="26"/>
          <w:szCs w:val="27"/>
          <w:rtl/>
          <w:lang w:eastAsia="he-IL"/>
        </w:rPr>
        <w:t xml:space="preserve"> "זכה 'עזר'; לא זכה 'כנגדו'"</w:t>
      </w:r>
      <w:r w:rsidRPr="000867E7">
        <w:rPr>
          <w:rFonts w:ascii="Times New Roman" w:eastAsia="Times New Roman" w:hAnsi="Times New Roman" w:cs="oprFrank"/>
          <w:noProof/>
          <w:position w:val="-4"/>
          <w:sz w:val="26"/>
          <w:szCs w:val="26"/>
          <w:vertAlign w:val="superscript"/>
          <w:rtl/>
          <w:lang w:eastAsia="he-IL"/>
        </w:rPr>
        <w:endnoteReference w:id="17"/>
      </w:r>
      <w:r w:rsidRPr="000867E7">
        <w:rPr>
          <w:rFonts w:ascii="Times New Roman" w:eastAsia="Times New Roman" w:hAnsi="Times New Roman" w:cs="oprFrank" w:hint="cs"/>
          <w:sz w:val="26"/>
          <w:szCs w:val="27"/>
          <w:rtl/>
          <w:lang w:eastAsia="he-IL"/>
        </w:rPr>
        <w:t>. לפי דברי רבינו בחיי על מינויי המלך, יש לפרש כי רגישות מיוחדת יש לאשה בנוגע לקשריו של האיש עם זולתו, חוש של "</w:t>
      </w:r>
      <w:r w:rsidRPr="000867E7">
        <w:rPr>
          <w:rFonts w:ascii="Times New Roman" w:eastAsia="Times New Roman" w:hAnsi="Times New Roman" w:cs="MiriamMFO" w:hint="cs"/>
          <w:sz w:val="21"/>
          <w:szCs w:val="23"/>
          <w:rtl/>
          <w:lang w:eastAsia="he-IL"/>
        </w:rPr>
        <w:t>עזר</w:t>
      </w:r>
      <w:r w:rsidRPr="000867E7">
        <w:rPr>
          <w:rFonts w:ascii="Times New Roman" w:eastAsia="Times New Roman" w:hAnsi="Times New Roman" w:cs="oprFrank" w:hint="cs"/>
          <w:sz w:val="26"/>
          <w:szCs w:val="27"/>
          <w:rtl/>
          <w:lang w:eastAsia="he-IL"/>
        </w:rPr>
        <w:t xml:space="preserve"> </w:t>
      </w:r>
      <w:r w:rsidRPr="000867E7">
        <w:rPr>
          <w:rFonts w:ascii="Times New Roman" w:eastAsia="Times New Roman" w:hAnsi="Times New Roman" w:cs="MiriamMFO" w:hint="cs"/>
          <w:sz w:val="21"/>
          <w:szCs w:val="23"/>
          <w:rtl/>
          <w:lang w:eastAsia="he-IL"/>
        </w:rPr>
        <w:t>כנגדו</w:t>
      </w:r>
      <w:r w:rsidRPr="000867E7">
        <w:rPr>
          <w:rFonts w:ascii="Times New Roman" w:eastAsia="Times New Roman" w:hAnsi="Times New Roman" w:cs="oprFrank" w:hint="cs"/>
          <w:sz w:val="26"/>
          <w:szCs w:val="27"/>
          <w:rtl/>
          <w:lang w:eastAsia="he-IL"/>
        </w:rPr>
        <w:t>"</w:t>
      </w:r>
      <w:r w:rsidRPr="000867E7">
        <w:rPr>
          <w:rFonts w:ascii="Times New Roman" w:eastAsia="Times New Roman" w:hAnsi="Times New Roman" w:cs="oprFrank"/>
          <w:noProof/>
          <w:position w:val="-4"/>
          <w:sz w:val="26"/>
          <w:szCs w:val="26"/>
          <w:vertAlign w:val="superscript"/>
          <w:rtl/>
          <w:lang w:eastAsia="he-IL"/>
        </w:rPr>
        <w:endnoteReference w:id="18"/>
      </w:r>
      <w:r w:rsidRPr="000867E7">
        <w:rPr>
          <w:rFonts w:ascii="Times New Roman" w:eastAsia="Times New Roman" w:hAnsi="Times New Roman" w:cs="oprFrank" w:hint="cs"/>
          <w:sz w:val="26"/>
          <w:szCs w:val="27"/>
          <w:rtl/>
          <w:lang w:eastAsia="he-IL"/>
        </w:rPr>
        <w:t xml:space="preserve"> בו היא מזהה היטב את מי יש לקרב ולרומם בהיותו </w:t>
      </w:r>
      <w:r w:rsidRPr="000867E7">
        <w:rPr>
          <w:rFonts w:ascii="Times New Roman" w:eastAsia="Times New Roman" w:hAnsi="Times New Roman" w:cs="MiriamMFO" w:hint="cs"/>
          <w:sz w:val="21"/>
          <w:szCs w:val="23"/>
          <w:rtl/>
          <w:lang w:eastAsia="he-IL"/>
        </w:rPr>
        <w:t>עוזר</w:t>
      </w:r>
      <w:r w:rsidRPr="000867E7">
        <w:rPr>
          <w:rFonts w:ascii="Times New Roman" w:eastAsia="Times New Roman" w:hAnsi="Times New Roman" w:cs="oprFrank" w:hint="cs"/>
          <w:sz w:val="26"/>
          <w:szCs w:val="27"/>
          <w:rtl/>
          <w:lang w:eastAsia="he-IL"/>
        </w:rPr>
        <w:t xml:space="preserve"> למפעל החיים המשותף ואת מי יש להרחיק ולהשפיל בהיותו </w:t>
      </w:r>
      <w:r w:rsidRPr="000867E7">
        <w:rPr>
          <w:rFonts w:ascii="Times New Roman" w:eastAsia="Times New Roman" w:hAnsi="Times New Roman" w:cs="MiriamMFO" w:hint="cs"/>
          <w:sz w:val="21"/>
          <w:szCs w:val="23"/>
          <w:rtl/>
          <w:lang w:eastAsia="he-IL"/>
        </w:rPr>
        <w:t>מנגד</w:t>
      </w:r>
      <w:r w:rsidRPr="000867E7">
        <w:rPr>
          <w:rFonts w:ascii="Times New Roman" w:eastAsia="Times New Roman" w:hAnsi="Times New Roman" w:cs="oprFrank" w:hint="cs"/>
          <w:sz w:val="26"/>
          <w:szCs w:val="27"/>
          <w:rtl/>
          <w:lang w:eastAsia="he-IL"/>
        </w:rPr>
        <w:t xml:space="preserve"> אליו.</w:t>
      </w:r>
    </w:p>
    <w:p w:rsidR="000867E7" w:rsidRPr="000867E7" w:rsidRDefault="000867E7" w:rsidP="000867E7">
      <w:pPr>
        <w:spacing w:after="120" w:line="380" w:lineRule="exact"/>
        <w:jc w:val="both"/>
        <w:rPr>
          <w:rFonts w:ascii="Times New Roman" w:eastAsia="Times New Roman" w:hAnsi="Times New Roman" w:cs="oprFrank" w:hint="cs"/>
          <w:sz w:val="26"/>
          <w:szCs w:val="27"/>
          <w:rtl/>
          <w:lang w:eastAsia="he-IL"/>
        </w:rPr>
      </w:pPr>
      <w:r w:rsidRPr="000867E7">
        <w:rPr>
          <w:rFonts w:ascii="Times New Roman" w:eastAsia="Times New Roman" w:hAnsi="Times New Roman" w:cs="oprFrank" w:hint="cs"/>
          <w:sz w:val="26"/>
          <w:szCs w:val="27"/>
          <w:rtl/>
          <w:lang w:eastAsia="he-IL"/>
        </w:rPr>
        <w:t xml:space="preserve">לכאורה, לפי פירוש זה, הסדר של "כתיבה וחתימה טובה" הוא הפוך, שהרי הקידושין בטבעת קודמים למסירת הכתובה. עם זאת, הסדר מתאים לנוסח ברכת האירוסין, "המקדש עמו ישראל על ידי חֻפה וקידושין" (שכבר נשתברו קולמוסים רבים אודותיו, לתרץ מדוע מקדימים בנוסח את קנין החופה </w:t>
      </w:r>
      <w:proofErr w:type="spellStart"/>
      <w:r w:rsidRPr="000867E7">
        <w:rPr>
          <w:rFonts w:ascii="Times New Roman" w:eastAsia="Times New Roman" w:hAnsi="Times New Roman" w:cs="oprFrank" w:hint="cs"/>
          <w:sz w:val="26"/>
          <w:szCs w:val="27"/>
          <w:rtl/>
          <w:lang w:eastAsia="he-IL"/>
        </w:rPr>
        <w:t>לקנין</w:t>
      </w:r>
      <w:proofErr w:type="spellEnd"/>
      <w:r w:rsidRPr="000867E7">
        <w:rPr>
          <w:rFonts w:ascii="Times New Roman" w:eastAsia="Times New Roman" w:hAnsi="Times New Roman" w:cs="oprFrank" w:hint="cs"/>
          <w:sz w:val="26"/>
          <w:szCs w:val="27"/>
          <w:rtl/>
          <w:lang w:eastAsia="he-IL"/>
        </w:rPr>
        <w:t xml:space="preserve"> הקידושין</w:t>
      </w:r>
      <w:r w:rsidRPr="000867E7">
        <w:rPr>
          <w:rFonts w:ascii="Times New Roman" w:eastAsia="Times New Roman" w:hAnsi="Times New Roman" w:cs="oprFrank"/>
          <w:noProof/>
          <w:position w:val="-4"/>
          <w:sz w:val="26"/>
          <w:szCs w:val="26"/>
          <w:vertAlign w:val="superscript"/>
          <w:rtl/>
          <w:lang w:eastAsia="he-IL"/>
        </w:rPr>
        <w:endnoteReference w:id="19"/>
      </w:r>
      <w:r w:rsidRPr="000867E7">
        <w:rPr>
          <w:rFonts w:ascii="Times New Roman" w:eastAsia="Times New Roman" w:hAnsi="Times New Roman" w:cs="oprFrank" w:hint="cs"/>
          <w:sz w:val="26"/>
          <w:szCs w:val="27"/>
          <w:rtl/>
          <w:lang w:eastAsia="he-IL"/>
        </w:rPr>
        <w:t xml:space="preserve">, הפוך מהסדר של קידושין-נישואין). לפי האמור עד כה, מובן כי על אף שהאיש מקדים למסור את הטבעת לאשתו, ולהצהיר בכך שלה שמורה המילה האחרונה בביתם, הרי שבפועל בא לידי ביטוי </w:t>
      </w:r>
      <w:proofErr w:type="spellStart"/>
      <w:r w:rsidRPr="000867E7">
        <w:rPr>
          <w:rFonts w:ascii="Times New Roman" w:eastAsia="Times New Roman" w:hAnsi="Times New Roman" w:cs="oprFrank" w:hint="cs"/>
          <w:sz w:val="26"/>
          <w:szCs w:val="27"/>
          <w:rtl/>
          <w:lang w:eastAsia="he-IL"/>
        </w:rPr>
        <w:t>כחה</w:t>
      </w:r>
      <w:proofErr w:type="spellEnd"/>
      <w:r w:rsidRPr="000867E7">
        <w:rPr>
          <w:rFonts w:ascii="Times New Roman" w:eastAsia="Times New Roman" w:hAnsi="Times New Roman" w:cs="oprFrank" w:hint="cs"/>
          <w:sz w:val="26"/>
          <w:szCs w:val="27"/>
          <w:rtl/>
          <w:lang w:eastAsia="he-IL"/>
        </w:rPr>
        <w:t xml:space="preserve"> של הטבעת רק לאחר הכתיבה-הכתובה (שהרי הטבעת נמסרת חלקה</w:t>
      </w:r>
      <w:r w:rsidRPr="000867E7">
        <w:rPr>
          <w:rFonts w:ascii="Times New Roman" w:eastAsia="Times New Roman" w:hAnsi="Times New Roman" w:cs="oprFrank"/>
          <w:noProof/>
          <w:position w:val="-4"/>
          <w:sz w:val="26"/>
          <w:szCs w:val="26"/>
          <w:vertAlign w:val="superscript"/>
          <w:rtl/>
          <w:lang w:eastAsia="he-IL"/>
        </w:rPr>
        <w:endnoteReference w:id="20"/>
      </w:r>
      <w:r w:rsidRPr="000867E7">
        <w:rPr>
          <w:rFonts w:ascii="Times New Roman" w:eastAsia="Times New Roman" w:hAnsi="Times New Roman" w:cs="oprFrank" w:hint="cs"/>
          <w:sz w:val="26"/>
          <w:szCs w:val="27"/>
          <w:rtl/>
          <w:lang w:eastAsia="he-IL"/>
        </w:rPr>
        <w:t xml:space="preserve">, </w:t>
      </w:r>
      <w:proofErr w:type="spellStart"/>
      <w:r w:rsidRPr="000867E7">
        <w:rPr>
          <w:rFonts w:ascii="Times New Roman" w:eastAsia="Times New Roman" w:hAnsi="Times New Roman" w:cs="oprFrank" w:hint="cs"/>
          <w:sz w:val="26"/>
          <w:szCs w:val="27"/>
          <w:rtl/>
          <w:lang w:eastAsia="he-IL"/>
        </w:rPr>
        <w:t>ככח</w:t>
      </w:r>
      <w:proofErr w:type="spellEnd"/>
      <w:r w:rsidRPr="000867E7">
        <w:rPr>
          <w:rFonts w:ascii="Times New Roman" w:eastAsia="Times New Roman" w:hAnsi="Times New Roman" w:cs="oprFrank" w:hint="cs"/>
          <w:sz w:val="26"/>
          <w:szCs w:val="27"/>
          <w:rtl/>
          <w:lang w:eastAsia="he-IL"/>
        </w:rPr>
        <w:t xml:space="preserve"> חתימה היולי, ורק לאחר כתיבת האיש בפועל מתגלה </w:t>
      </w:r>
      <w:proofErr w:type="spellStart"/>
      <w:r w:rsidRPr="000867E7">
        <w:rPr>
          <w:rFonts w:ascii="Times New Roman" w:eastAsia="Times New Roman" w:hAnsi="Times New Roman" w:cs="oprFrank" w:hint="cs"/>
          <w:sz w:val="26"/>
          <w:szCs w:val="27"/>
          <w:rtl/>
          <w:lang w:eastAsia="he-IL"/>
        </w:rPr>
        <w:t>מהעלמו</w:t>
      </w:r>
      <w:proofErr w:type="spellEnd"/>
      <w:r w:rsidRPr="000867E7">
        <w:rPr>
          <w:rFonts w:ascii="Times New Roman" w:eastAsia="Times New Roman" w:hAnsi="Times New Roman" w:cs="oprFrank" w:hint="cs"/>
          <w:sz w:val="26"/>
          <w:szCs w:val="27"/>
          <w:rtl/>
          <w:lang w:eastAsia="he-IL"/>
        </w:rPr>
        <w:t xml:space="preserve"> </w:t>
      </w:r>
      <w:proofErr w:type="spellStart"/>
      <w:r w:rsidRPr="000867E7">
        <w:rPr>
          <w:rFonts w:ascii="Times New Roman" w:eastAsia="Times New Roman" w:hAnsi="Times New Roman" w:cs="oprFrank" w:hint="cs"/>
          <w:sz w:val="26"/>
          <w:szCs w:val="27"/>
          <w:rtl/>
          <w:lang w:eastAsia="he-IL"/>
        </w:rPr>
        <w:t>כח</w:t>
      </w:r>
      <w:proofErr w:type="spellEnd"/>
      <w:r w:rsidRPr="000867E7">
        <w:rPr>
          <w:rFonts w:ascii="Times New Roman" w:eastAsia="Times New Roman" w:hAnsi="Times New Roman" w:cs="oprFrank" w:hint="cs"/>
          <w:sz w:val="26"/>
          <w:szCs w:val="27"/>
          <w:rtl/>
          <w:lang w:eastAsia="he-IL"/>
        </w:rPr>
        <w:t xml:space="preserve"> החתימה המיוחד של אשתו), והסדר בפועל הוא של "כתיבה וחתימה טובה"</w:t>
      </w:r>
      <w:r w:rsidRPr="000867E7">
        <w:rPr>
          <w:rFonts w:ascii="Times New Roman" w:eastAsia="Times New Roman" w:hAnsi="Times New Roman" w:cs="oprFrank"/>
          <w:noProof/>
          <w:position w:val="-4"/>
          <w:sz w:val="26"/>
          <w:szCs w:val="26"/>
          <w:vertAlign w:val="superscript"/>
          <w:rtl/>
          <w:lang w:eastAsia="he-IL"/>
        </w:rPr>
        <w:endnoteReference w:id="21"/>
      </w:r>
      <w:r w:rsidRPr="000867E7">
        <w:rPr>
          <w:rFonts w:ascii="Times New Roman" w:eastAsia="Times New Roman" w:hAnsi="Times New Roman" w:cs="oprFrank" w:hint="cs"/>
          <w:sz w:val="26"/>
          <w:szCs w:val="27"/>
          <w:rtl/>
          <w:lang w:eastAsia="he-IL"/>
        </w:rPr>
        <w:t>.</w:t>
      </w:r>
    </w:p>
    <w:p w:rsidR="005F4A47" w:rsidRDefault="000867E7" w:rsidP="000867E7">
      <w:r w:rsidRPr="000867E7">
        <w:rPr>
          <w:rFonts w:ascii="Times New Roman" w:eastAsia="Times New Roman" w:hAnsi="Times New Roman" w:cs="oprFrank" w:hint="cs"/>
          <w:sz w:val="26"/>
          <w:szCs w:val="27"/>
          <w:rtl/>
          <w:lang w:eastAsia="he-IL"/>
        </w:rPr>
        <w:lastRenderedPageBreak/>
        <w:t>[בסדר</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השנה,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עיקר</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הכתיבה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הטובה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נעשה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בראש</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השנה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והחתימה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הטובה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נחתמת</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ביום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הכפורים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(כך</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בבינונים</w:t>
      </w:r>
      <w:r w:rsidRPr="000867E7">
        <w:rPr>
          <w:rFonts w:ascii="Times New Roman" w:eastAsia="Times New Roman" w:hAnsi="Times New Roman" w:cs="oprFrank"/>
          <w:noProof/>
          <w:position w:val="-4"/>
          <w:sz w:val="26"/>
          <w:szCs w:val="27"/>
          <w:vertAlign w:val="superscript"/>
          <w:rtl/>
          <w:lang w:eastAsia="he-IL"/>
        </w:rPr>
        <w:fldChar w:fldCharType="begin"/>
      </w:r>
      <w:r w:rsidRPr="000867E7">
        <w:rPr>
          <w:rFonts w:ascii="Times New Roman" w:eastAsia="Times New Roman" w:hAnsi="Times New Roman" w:cs="oprFrank"/>
          <w:noProof/>
          <w:position w:val="-4"/>
          <w:sz w:val="26"/>
          <w:szCs w:val="27"/>
          <w:vertAlign w:val="superscript"/>
          <w:rtl/>
          <w:lang w:eastAsia="he-IL"/>
        </w:rPr>
        <w:instrText xml:space="preserve"> </w:instrText>
      </w:r>
      <w:r w:rsidRPr="000867E7">
        <w:rPr>
          <w:rFonts w:ascii="Times New Roman" w:eastAsia="Times New Roman" w:hAnsi="Times New Roman" w:cs="oprFrank" w:hint="cs"/>
          <w:noProof/>
          <w:position w:val="-4"/>
          <w:sz w:val="26"/>
          <w:szCs w:val="27"/>
          <w:vertAlign w:val="superscript"/>
          <w:lang w:eastAsia="he-IL"/>
        </w:rPr>
        <w:instrText>NOTEREF</w:instrText>
      </w:r>
      <w:r w:rsidRPr="000867E7">
        <w:rPr>
          <w:rFonts w:ascii="Times New Roman" w:eastAsia="Times New Roman" w:hAnsi="Times New Roman" w:cs="oprFrank" w:hint="cs"/>
          <w:noProof/>
          <w:position w:val="-4"/>
          <w:sz w:val="26"/>
          <w:szCs w:val="27"/>
          <w:vertAlign w:val="superscript"/>
          <w:rtl/>
          <w:lang w:eastAsia="he-IL"/>
        </w:rPr>
        <w:instrText xml:space="preserve"> _</w:instrText>
      </w:r>
      <w:r w:rsidRPr="000867E7">
        <w:rPr>
          <w:rFonts w:ascii="Times New Roman" w:eastAsia="Times New Roman" w:hAnsi="Times New Roman" w:cs="oprFrank" w:hint="cs"/>
          <w:noProof/>
          <w:position w:val="-4"/>
          <w:sz w:val="26"/>
          <w:szCs w:val="27"/>
          <w:vertAlign w:val="superscript"/>
          <w:lang w:eastAsia="he-IL"/>
        </w:rPr>
        <w:instrText>Ref301293961 \h</w:instrText>
      </w:r>
      <w:r w:rsidRPr="000867E7">
        <w:rPr>
          <w:rFonts w:ascii="Times New Roman" w:eastAsia="Times New Roman" w:hAnsi="Times New Roman" w:cs="oprFrank"/>
          <w:noProof/>
          <w:position w:val="-4"/>
          <w:sz w:val="26"/>
          <w:szCs w:val="27"/>
          <w:vertAlign w:val="superscript"/>
          <w:rtl/>
          <w:lang w:eastAsia="he-IL"/>
        </w:rPr>
        <w:instrText xml:space="preserve"> </w:instrText>
      </w:r>
      <w:r w:rsidRPr="000867E7">
        <w:rPr>
          <w:rFonts w:ascii="Times New Roman" w:eastAsia="Times New Roman" w:hAnsi="Times New Roman" w:cs="oprFrank"/>
          <w:noProof/>
          <w:position w:val="-4"/>
          <w:sz w:val="26"/>
          <w:szCs w:val="27"/>
          <w:vertAlign w:val="superscript"/>
          <w:lang w:eastAsia="he-IL"/>
        </w:rPr>
      </w:r>
      <w:r w:rsidRPr="000867E7">
        <w:rPr>
          <w:rFonts w:ascii="Times New Roman" w:eastAsia="Times New Roman" w:hAnsi="Times New Roman" w:cs="oprFrank"/>
          <w:noProof/>
          <w:position w:val="-4"/>
          <w:sz w:val="26"/>
          <w:szCs w:val="27"/>
          <w:vertAlign w:val="superscript"/>
          <w:lang w:eastAsia="he-IL"/>
        </w:rPr>
        <w:instrText xml:space="preserve"> \* MERGEFORMAT </w:instrText>
      </w:r>
      <w:r w:rsidRPr="000867E7">
        <w:rPr>
          <w:rFonts w:ascii="Times New Roman" w:eastAsia="Times New Roman" w:hAnsi="Times New Roman" w:cs="oprFrank"/>
          <w:noProof/>
          <w:position w:val="-4"/>
          <w:sz w:val="26"/>
          <w:szCs w:val="27"/>
          <w:vertAlign w:val="superscript"/>
          <w:rtl/>
          <w:lang w:eastAsia="he-IL"/>
        </w:rPr>
        <w:fldChar w:fldCharType="separate"/>
      </w:r>
      <w:r w:rsidRPr="000867E7">
        <w:rPr>
          <w:rFonts w:ascii="Times New Roman" w:eastAsia="Times New Roman" w:hAnsi="Times New Roman" w:cs="oprFrank"/>
          <w:noProof/>
          <w:position w:val="-4"/>
          <w:sz w:val="26"/>
          <w:szCs w:val="27"/>
          <w:vertAlign w:val="superscript"/>
          <w:rtl/>
          <w:lang w:eastAsia="he-IL"/>
        </w:rPr>
        <w:t>ו</w:t>
      </w:r>
      <w:r w:rsidRPr="000867E7">
        <w:rPr>
          <w:rFonts w:ascii="Times New Roman" w:eastAsia="Times New Roman" w:hAnsi="Times New Roman" w:cs="oprFrank"/>
          <w:noProof/>
          <w:position w:val="-4"/>
          <w:sz w:val="26"/>
          <w:szCs w:val="27"/>
          <w:vertAlign w:val="superscript"/>
          <w:rtl/>
          <w:lang w:eastAsia="he-IL"/>
        </w:rPr>
        <w:fldChar w:fldCharType="end"/>
      </w:r>
      <w:r w:rsidRPr="000867E7">
        <w:rPr>
          <w:rFonts w:ascii="Times New Roman" w:eastAsia="Times New Roman" w:hAnsi="Times New Roman" w:cs="oprFrank" w:hint="cs"/>
          <w:sz w:val="26"/>
          <w:szCs w:val="27"/>
          <w:rtl/>
          <w:lang w:eastAsia="he-IL"/>
        </w:rPr>
        <w:t>,</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"והיא</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מדת</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כל</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אדם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ואחריה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כל</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אדם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ימשוך"</w:t>
      </w:r>
      <w:r w:rsidRPr="000867E7">
        <w:rPr>
          <w:rFonts w:ascii="Times New Roman" w:eastAsia="Times New Roman" w:hAnsi="Times New Roman" w:cs="oprFrank"/>
          <w:noProof/>
          <w:position w:val="-4"/>
          <w:sz w:val="26"/>
          <w:szCs w:val="26"/>
          <w:vertAlign w:val="superscript"/>
          <w:rtl/>
          <w:lang w:eastAsia="he-IL"/>
        </w:rPr>
        <w:endnoteReference w:id="22"/>
      </w:r>
      <w:r w:rsidRPr="000867E7">
        <w:rPr>
          <w:rFonts w:ascii="Times New Roman" w:eastAsia="Times New Roman" w:hAnsi="Times New Roman" w:cs="oprFrank" w:hint="cs"/>
          <w:sz w:val="26"/>
          <w:szCs w:val="27"/>
          <w:rtl/>
          <w:lang w:eastAsia="he-IL"/>
        </w:rPr>
        <w:t>).</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אם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כן,</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לפי</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האמור</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עד</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כה,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בראש</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השנה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מתחייב</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לעם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ישראל</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למלא</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את</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כל</w:t>
      </w:r>
      <w:r w:rsidRPr="000867E7">
        <w:rPr>
          <w:rFonts w:ascii="Times New Roman" w:eastAsia="Times New Roman" w:hAnsi="Times New Roman" w:cs="oprFrank" w:hint="cs"/>
          <w:spacing w:val="-10"/>
          <w:sz w:val="26"/>
          <w:szCs w:val="27"/>
          <w:rtl/>
          <w:lang w:eastAsia="he-IL"/>
        </w:rPr>
        <w:t xml:space="preserve"> </w:t>
      </w:r>
      <w:proofErr w:type="spellStart"/>
      <w:r w:rsidRPr="000867E7">
        <w:rPr>
          <w:rFonts w:ascii="Times New Roman" w:eastAsia="Times New Roman" w:hAnsi="Times New Roman" w:cs="oprFrank" w:hint="cs"/>
          <w:sz w:val="26"/>
          <w:szCs w:val="27"/>
          <w:rtl/>
          <w:lang w:eastAsia="he-IL"/>
        </w:rPr>
        <w:t>התחיבויות</w:t>
      </w:r>
      <w:proofErr w:type="spellEnd"/>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האיש</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לאשתו</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בכתובה.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עבודת</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עשרת</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ימי</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תשובה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היא</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להגיע</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בנעילת</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יום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כיפור</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למדרגה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של</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"צדיק</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גוזר</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והקדוש</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ברוך</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הוא</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מקיים,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הקדוש</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ברוך</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הוא</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גוזר</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וצדיק</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מבטל"</w:t>
      </w:r>
      <w:r w:rsidRPr="000867E7">
        <w:rPr>
          <w:rFonts w:ascii="Times New Roman" w:eastAsia="Times New Roman" w:hAnsi="Times New Roman" w:cs="oprFrank"/>
          <w:noProof/>
          <w:position w:val="-4"/>
          <w:sz w:val="26"/>
          <w:szCs w:val="26"/>
          <w:vertAlign w:val="superscript"/>
          <w:rtl/>
          <w:lang w:eastAsia="he-IL"/>
        </w:rPr>
        <w:endnoteReference w:id="23"/>
      </w:r>
      <w:r w:rsidRPr="000867E7">
        <w:rPr>
          <w:rFonts w:ascii="Times New Roman" w:eastAsia="Times New Roman" w:hAnsi="Times New Roman" w:cs="oprFrank" w:hint="cs"/>
          <w:sz w:val="26"/>
          <w:szCs w:val="27"/>
          <w:rtl/>
          <w:lang w:eastAsia="he-IL"/>
        </w:rPr>
        <w:t>,</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בה</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נמסר</w:t>
      </w:r>
      <w:r w:rsidRPr="000867E7">
        <w:rPr>
          <w:rFonts w:ascii="Times New Roman" w:eastAsia="Times New Roman" w:hAnsi="Times New Roman" w:cs="oprFrank" w:hint="cs"/>
          <w:spacing w:val="-10"/>
          <w:sz w:val="26"/>
          <w:szCs w:val="27"/>
          <w:rtl/>
          <w:lang w:eastAsia="he-IL"/>
        </w:rPr>
        <w:t xml:space="preserve"> </w:t>
      </w:r>
      <w:proofErr w:type="spellStart"/>
      <w:r w:rsidRPr="000867E7">
        <w:rPr>
          <w:rFonts w:ascii="Times New Roman" w:eastAsia="Times New Roman" w:hAnsi="Times New Roman" w:cs="oprFrank" w:hint="cs"/>
          <w:sz w:val="26"/>
          <w:szCs w:val="27"/>
          <w:rtl/>
          <w:lang w:eastAsia="he-IL"/>
        </w:rPr>
        <w:t>כח</w:t>
      </w:r>
      <w:proofErr w:type="spellEnd"/>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חותם</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המלך</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לנשמות</w:t>
      </w:r>
      <w:r w:rsidRPr="000867E7">
        <w:rPr>
          <w:rFonts w:ascii="Times New Roman" w:eastAsia="Times New Roman" w:hAnsi="Times New Roman" w:cs="oprFrank" w:hint="cs"/>
          <w:spacing w:val="-10"/>
          <w:sz w:val="26"/>
          <w:szCs w:val="27"/>
          <w:rtl/>
          <w:lang w:eastAsia="he-IL"/>
        </w:rPr>
        <w:t xml:space="preserve"> </w:t>
      </w:r>
      <w:r w:rsidRPr="000867E7">
        <w:rPr>
          <w:rFonts w:ascii="Times New Roman" w:eastAsia="Times New Roman" w:hAnsi="Times New Roman" w:cs="oprFrank" w:hint="cs"/>
          <w:sz w:val="26"/>
          <w:szCs w:val="27"/>
          <w:rtl/>
          <w:lang w:eastAsia="he-IL"/>
        </w:rPr>
        <w:t>ישראל.]</w:t>
      </w:r>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292" w:rsidRDefault="00E84292" w:rsidP="000867E7">
      <w:pPr>
        <w:spacing w:after="0" w:line="240" w:lineRule="auto"/>
      </w:pPr>
      <w:r>
        <w:separator/>
      </w:r>
    </w:p>
  </w:endnote>
  <w:endnote w:type="continuationSeparator" w:id="0">
    <w:p w:rsidR="00E84292" w:rsidRDefault="00E84292" w:rsidP="000867E7">
      <w:pPr>
        <w:spacing w:after="0" w:line="240" w:lineRule="auto"/>
      </w:pPr>
      <w:r>
        <w:continuationSeparator/>
      </w:r>
    </w:p>
  </w:endnote>
  <w:endnote w:id="1">
    <w:p w:rsidR="000867E7" w:rsidRDefault="000867E7" w:rsidP="000867E7">
      <w:pPr>
        <w:pStyle w:val="a3"/>
        <w:rPr>
          <w:rFonts w:hint="cs"/>
          <w:rtl/>
        </w:rPr>
      </w:pPr>
      <w:r>
        <w:rPr>
          <w:rtl/>
        </w:rPr>
        <w:tab/>
      </w:r>
      <w:r w:rsidRPr="00944A81">
        <w:rPr>
          <w:rtl/>
        </w:rPr>
        <w:endnoteRef/>
      </w:r>
      <w:r>
        <w:rPr>
          <w:rtl/>
        </w:rPr>
        <w:t>.</w:t>
      </w:r>
      <w:r>
        <w:rPr>
          <w:rtl/>
        </w:rPr>
        <w:tab/>
      </w:r>
      <w:r>
        <w:rPr>
          <w:rFonts w:hint="cs"/>
          <w:rtl/>
        </w:rPr>
        <w:t>משלי לא, ל.</w:t>
      </w:r>
    </w:p>
  </w:endnote>
  <w:endnote w:id="2">
    <w:p w:rsidR="000867E7" w:rsidRDefault="000867E7" w:rsidP="000867E7">
      <w:pPr>
        <w:pStyle w:val="a3"/>
        <w:rPr>
          <w:rFonts w:hint="cs"/>
        </w:rPr>
      </w:pPr>
      <w:r>
        <w:rPr>
          <w:rtl/>
        </w:rPr>
        <w:tab/>
      </w:r>
      <w:r w:rsidRPr="00944A81">
        <w:rPr>
          <w:rtl/>
        </w:rPr>
        <w:endnoteRef/>
      </w:r>
      <w:r>
        <w:rPr>
          <w:rtl/>
        </w:rPr>
        <w:t>.</w:t>
      </w:r>
      <w:r>
        <w:rPr>
          <w:rtl/>
        </w:rPr>
        <w:tab/>
      </w:r>
      <w:r>
        <w:rPr>
          <w:rFonts w:hint="cs"/>
          <w:rtl/>
        </w:rPr>
        <w:t>שם פסוק לא.</w:t>
      </w:r>
    </w:p>
  </w:endnote>
  <w:endnote w:id="3">
    <w:p w:rsidR="000867E7" w:rsidRDefault="000867E7" w:rsidP="000867E7">
      <w:pPr>
        <w:pStyle w:val="a3"/>
        <w:rPr>
          <w:rFonts w:hint="cs"/>
          <w:rtl/>
        </w:rPr>
      </w:pPr>
      <w:r>
        <w:rPr>
          <w:rtl/>
        </w:rPr>
        <w:tab/>
      </w:r>
      <w:r w:rsidRPr="00944A81">
        <w:rPr>
          <w:rtl/>
        </w:rPr>
        <w:endnoteRef/>
      </w:r>
      <w:r>
        <w:rPr>
          <w:rtl/>
        </w:rPr>
        <w:t>.</w:t>
      </w:r>
      <w:r>
        <w:rPr>
          <w:rtl/>
        </w:rPr>
        <w:tab/>
      </w:r>
      <w:r>
        <w:rPr>
          <w:rFonts w:hint="cs"/>
          <w:rtl/>
        </w:rPr>
        <w:t xml:space="preserve">תענית </w:t>
      </w:r>
      <w:proofErr w:type="spellStart"/>
      <w:r>
        <w:rPr>
          <w:rFonts w:hint="cs"/>
          <w:rtl/>
        </w:rPr>
        <w:t>כו</w:t>
      </w:r>
      <w:proofErr w:type="spellEnd"/>
      <w:r>
        <w:rPr>
          <w:rFonts w:hint="cs"/>
          <w:rtl/>
        </w:rPr>
        <w:t xml:space="preserve">, ב. וראה באורך בספר מחול הכרמים ובביאור "בחירת בת-זוג וסוד </w:t>
      </w:r>
      <w:proofErr w:type="spellStart"/>
      <w:r>
        <w:rPr>
          <w:rFonts w:hint="cs"/>
          <w:rtl/>
        </w:rPr>
        <w:t>המתקלא</w:t>
      </w:r>
      <w:proofErr w:type="spellEnd"/>
      <w:r>
        <w:rPr>
          <w:rFonts w:hint="cs"/>
          <w:rtl/>
        </w:rPr>
        <w:t>" למאמר "פרצוף הדעת" בספר שערי אהבה ורצון.</w:t>
      </w:r>
    </w:p>
  </w:endnote>
  <w:endnote w:id="4">
    <w:p w:rsidR="000867E7" w:rsidRDefault="000867E7" w:rsidP="000867E7">
      <w:pPr>
        <w:pStyle w:val="a3"/>
        <w:rPr>
          <w:rFonts w:hint="cs"/>
          <w:rtl/>
        </w:rPr>
      </w:pPr>
      <w:r>
        <w:rPr>
          <w:rtl/>
        </w:rPr>
        <w:tab/>
      </w:r>
      <w:r w:rsidRPr="00944A81">
        <w:rPr>
          <w:rtl/>
        </w:rPr>
        <w:endnoteRef/>
      </w:r>
      <w:r>
        <w:rPr>
          <w:rtl/>
        </w:rPr>
        <w:t>.</w:t>
      </w:r>
      <w:r>
        <w:rPr>
          <w:rtl/>
        </w:rPr>
        <w:tab/>
      </w:r>
      <w:r>
        <w:rPr>
          <w:rFonts w:hint="cs"/>
          <w:rtl/>
        </w:rPr>
        <w:t xml:space="preserve">ירושלמי ביכורים פ"ג </w:t>
      </w:r>
      <w:proofErr w:type="spellStart"/>
      <w:r>
        <w:rPr>
          <w:rFonts w:hint="cs"/>
          <w:rtl/>
        </w:rPr>
        <w:t>ה"ג</w:t>
      </w:r>
      <w:proofErr w:type="spellEnd"/>
      <w:r>
        <w:rPr>
          <w:rFonts w:hint="cs"/>
          <w:rtl/>
        </w:rPr>
        <w:t>.</w:t>
      </w:r>
    </w:p>
  </w:endnote>
  <w:endnote w:id="5">
    <w:p w:rsidR="000867E7" w:rsidRDefault="000867E7" w:rsidP="000867E7">
      <w:pPr>
        <w:pStyle w:val="a3"/>
        <w:rPr>
          <w:rFonts w:hint="cs"/>
          <w:rtl/>
        </w:rPr>
      </w:pPr>
      <w:r>
        <w:rPr>
          <w:rtl/>
        </w:rPr>
        <w:tab/>
      </w:r>
      <w:r w:rsidRPr="00944A81">
        <w:rPr>
          <w:rtl/>
        </w:rPr>
        <w:endnoteRef/>
      </w:r>
      <w:r>
        <w:rPr>
          <w:rtl/>
        </w:rPr>
        <w:t>.</w:t>
      </w:r>
      <w:r>
        <w:rPr>
          <w:rtl/>
        </w:rPr>
        <w:tab/>
        <w:t xml:space="preserve">ראה שער </w:t>
      </w:r>
      <w:proofErr w:type="spellStart"/>
      <w:r>
        <w:rPr>
          <w:rtl/>
        </w:rPr>
        <w:t>ישכר</w:t>
      </w:r>
      <w:proofErr w:type="spellEnd"/>
      <w:r>
        <w:rPr>
          <w:rtl/>
        </w:rPr>
        <w:t xml:space="preserve"> מאמר יום </w:t>
      </w:r>
      <w:proofErr w:type="spellStart"/>
      <w:r>
        <w:rPr>
          <w:rtl/>
        </w:rPr>
        <w:t>תבר</w:t>
      </w:r>
      <w:proofErr w:type="spellEnd"/>
      <w:r>
        <w:rPr>
          <w:rtl/>
        </w:rPr>
        <w:t xml:space="preserve"> מגל ס"ב. הובא בדרכי חיים ושלום </w:t>
      </w:r>
      <w:proofErr w:type="spellStart"/>
      <w:r>
        <w:rPr>
          <w:rtl/>
        </w:rPr>
        <w:t>סתרפ"ד</w:t>
      </w:r>
      <w:proofErr w:type="spellEnd"/>
      <w:r>
        <w:t>.</w:t>
      </w:r>
    </w:p>
  </w:endnote>
  <w:endnote w:id="6">
    <w:p w:rsidR="000867E7" w:rsidRDefault="000867E7" w:rsidP="000867E7">
      <w:pPr>
        <w:pStyle w:val="a3"/>
        <w:rPr>
          <w:rFonts w:hint="cs"/>
          <w:rtl/>
        </w:rPr>
      </w:pPr>
      <w:r>
        <w:rPr>
          <w:rtl/>
        </w:rPr>
        <w:tab/>
      </w:r>
      <w:r w:rsidRPr="00944A81">
        <w:rPr>
          <w:rtl/>
        </w:rPr>
        <w:endnoteRef/>
      </w:r>
      <w:r>
        <w:rPr>
          <w:rtl/>
        </w:rPr>
        <w:t>.</w:t>
      </w:r>
      <w:r>
        <w:rPr>
          <w:rtl/>
        </w:rPr>
        <w:tab/>
      </w:r>
      <w:r>
        <w:rPr>
          <w:rFonts w:hint="cs"/>
          <w:rtl/>
        </w:rPr>
        <w:t xml:space="preserve">ראש השנה </w:t>
      </w:r>
      <w:proofErr w:type="spellStart"/>
      <w:r>
        <w:rPr>
          <w:rFonts w:hint="cs"/>
          <w:rtl/>
        </w:rPr>
        <w:t>טז</w:t>
      </w:r>
      <w:proofErr w:type="spellEnd"/>
      <w:r>
        <w:rPr>
          <w:rFonts w:hint="cs"/>
          <w:rtl/>
        </w:rPr>
        <w:t>, ב.</w:t>
      </w:r>
    </w:p>
  </w:endnote>
  <w:endnote w:id="7">
    <w:p w:rsidR="000867E7" w:rsidRDefault="000867E7" w:rsidP="000867E7">
      <w:pPr>
        <w:pStyle w:val="a3"/>
        <w:rPr>
          <w:rFonts w:hint="cs"/>
          <w:rtl/>
        </w:rPr>
      </w:pPr>
      <w:r>
        <w:rPr>
          <w:rtl/>
        </w:rPr>
        <w:tab/>
      </w:r>
      <w:r w:rsidRPr="00944A81">
        <w:rPr>
          <w:rtl/>
        </w:rPr>
        <w:endnoteRef/>
      </w:r>
      <w:r>
        <w:rPr>
          <w:rtl/>
        </w:rPr>
        <w:t>.</w:t>
      </w:r>
      <w:r>
        <w:rPr>
          <w:rtl/>
        </w:rPr>
        <w:tab/>
      </w:r>
      <w:r>
        <w:rPr>
          <w:rFonts w:hint="cs"/>
          <w:rtl/>
        </w:rPr>
        <w:t>דברים כד, ה.</w:t>
      </w:r>
    </w:p>
  </w:endnote>
  <w:endnote w:id="8">
    <w:p w:rsidR="000867E7" w:rsidRDefault="000867E7" w:rsidP="000867E7">
      <w:pPr>
        <w:pStyle w:val="a3"/>
        <w:rPr>
          <w:rFonts w:hint="cs"/>
        </w:rPr>
      </w:pPr>
      <w:r>
        <w:rPr>
          <w:rtl/>
        </w:rPr>
        <w:tab/>
      </w:r>
      <w:r w:rsidRPr="00944A81">
        <w:rPr>
          <w:rtl/>
        </w:rPr>
        <w:endnoteRef/>
      </w:r>
      <w:r>
        <w:rPr>
          <w:rtl/>
        </w:rPr>
        <w:t>.</w:t>
      </w:r>
      <w:r>
        <w:rPr>
          <w:rtl/>
        </w:rPr>
        <w:tab/>
      </w:r>
      <w:r>
        <w:rPr>
          <w:rFonts w:hint="cs"/>
          <w:rtl/>
        </w:rPr>
        <w:t xml:space="preserve">רמ"א לאבן העזר </w:t>
      </w:r>
      <w:proofErr w:type="spellStart"/>
      <w:r>
        <w:rPr>
          <w:rFonts w:hint="cs"/>
          <w:rtl/>
        </w:rPr>
        <w:t>כז</w:t>
      </w:r>
      <w:proofErr w:type="spellEnd"/>
      <w:r>
        <w:rPr>
          <w:rFonts w:hint="cs"/>
          <w:rtl/>
        </w:rPr>
        <w:t xml:space="preserve">, א. ראה גם יין משמח ח"א שער ה בתורה "שאר כסות ועונה ברוחניות" </w:t>
      </w:r>
      <w:proofErr w:type="spellStart"/>
      <w:r>
        <w:rPr>
          <w:rFonts w:hint="cs"/>
          <w:rtl/>
        </w:rPr>
        <w:t>וח"ג</w:t>
      </w:r>
      <w:proofErr w:type="spellEnd"/>
      <w:r>
        <w:rPr>
          <w:rFonts w:hint="cs"/>
          <w:rtl/>
        </w:rPr>
        <w:t xml:space="preserve"> שער א בתורות הראשונות.</w:t>
      </w:r>
    </w:p>
  </w:endnote>
  <w:endnote w:id="9">
    <w:p w:rsidR="000867E7" w:rsidRDefault="000867E7" w:rsidP="000867E7">
      <w:pPr>
        <w:pStyle w:val="a3"/>
        <w:rPr>
          <w:rFonts w:hint="cs"/>
          <w:rtl/>
        </w:rPr>
      </w:pPr>
      <w:r>
        <w:rPr>
          <w:rtl/>
        </w:rPr>
        <w:tab/>
      </w:r>
      <w:r w:rsidRPr="00944A81">
        <w:rPr>
          <w:rtl/>
        </w:rPr>
        <w:endnoteRef/>
      </w:r>
      <w:r>
        <w:rPr>
          <w:rtl/>
        </w:rPr>
        <w:t>.</w:t>
      </w:r>
      <w:r>
        <w:rPr>
          <w:rtl/>
        </w:rPr>
        <w:tab/>
        <w:t xml:space="preserve">ראה </w:t>
      </w:r>
      <w:proofErr w:type="spellStart"/>
      <w:r>
        <w:rPr>
          <w:rtl/>
        </w:rPr>
        <w:t>תוד"ה</w:t>
      </w:r>
      <w:proofErr w:type="spellEnd"/>
      <w:r>
        <w:rPr>
          <w:rtl/>
        </w:rPr>
        <w:t xml:space="preserve"> נפסל – מנחות כ, ב. </w:t>
      </w:r>
      <w:proofErr w:type="spellStart"/>
      <w:r>
        <w:rPr>
          <w:rtl/>
        </w:rPr>
        <w:t>שו"ע</w:t>
      </w:r>
      <w:proofErr w:type="spellEnd"/>
      <w:r>
        <w:rPr>
          <w:rtl/>
        </w:rPr>
        <w:t xml:space="preserve"> </w:t>
      </w:r>
      <w:proofErr w:type="spellStart"/>
      <w:r>
        <w:rPr>
          <w:rtl/>
        </w:rPr>
        <w:t>אדה"ז</w:t>
      </w:r>
      <w:proofErr w:type="spellEnd"/>
      <w:r>
        <w:rPr>
          <w:rtl/>
        </w:rPr>
        <w:t xml:space="preserve"> </w:t>
      </w:r>
      <w:proofErr w:type="spellStart"/>
      <w:r>
        <w:rPr>
          <w:rtl/>
        </w:rPr>
        <w:t>או"ח</w:t>
      </w:r>
      <w:proofErr w:type="spellEnd"/>
      <w:r>
        <w:rPr>
          <w:rtl/>
        </w:rPr>
        <w:t xml:space="preserve"> סו"ס </w:t>
      </w:r>
      <w:proofErr w:type="spellStart"/>
      <w:r>
        <w:rPr>
          <w:rtl/>
        </w:rPr>
        <w:t>קפ</w:t>
      </w:r>
      <w:proofErr w:type="spellEnd"/>
      <w:r>
        <w:rPr>
          <w:rtl/>
        </w:rPr>
        <w:t xml:space="preserve">. </w:t>
      </w:r>
      <w:proofErr w:type="spellStart"/>
      <w:r>
        <w:rPr>
          <w:rtl/>
        </w:rPr>
        <w:t>סתל"ב</w:t>
      </w:r>
      <w:proofErr w:type="spellEnd"/>
      <w:r>
        <w:rPr>
          <w:rtl/>
        </w:rPr>
        <w:t xml:space="preserve"> </w:t>
      </w:r>
      <w:proofErr w:type="spellStart"/>
      <w:r>
        <w:rPr>
          <w:rtl/>
        </w:rPr>
        <w:t>סי"א</w:t>
      </w:r>
      <w:proofErr w:type="spellEnd"/>
      <w:r>
        <w:rPr>
          <w:rtl/>
        </w:rPr>
        <w:t xml:space="preserve">. </w:t>
      </w:r>
      <w:proofErr w:type="spellStart"/>
      <w:r>
        <w:rPr>
          <w:rtl/>
        </w:rPr>
        <w:t>סתצ"ד</w:t>
      </w:r>
      <w:proofErr w:type="spellEnd"/>
      <w:r>
        <w:rPr>
          <w:rtl/>
        </w:rPr>
        <w:t xml:space="preserve"> </w:t>
      </w:r>
      <w:proofErr w:type="spellStart"/>
      <w:r>
        <w:rPr>
          <w:rtl/>
        </w:rPr>
        <w:t>סט"ז</w:t>
      </w:r>
      <w:proofErr w:type="spellEnd"/>
      <w:r>
        <w:t>.</w:t>
      </w:r>
    </w:p>
  </w:endnote>
  <w:endnote w:id="10">
    <w:p w:rsidR="000867E7" w:rsidRDefault="000867E7" w:rsidP="000867E7">
      <w:pPr>
        <w:pStyle w:val="a3"/>
        <w:rPr>
          <w:rFonts w:hint="cs"/>
          <w:rtl/>
        </w:rPr>
      </w:pPr>
      <w:r>
        <w:rPr>
          <w:rtl/>
        </w:rPr>
        <w:tab/>
      </w:r>
      <w:r w:rsidRPr="00944A81">
        <w:rPr>
          <w:rtl/>
        </w:rPr>
        <w:endnoteRef/>
      </w:r>
      <w:r>
        <w:rPr>
          <w:rtl/>
        </w:rPr>
        <w:t>.</w:t>
      </w:r>
      <w:r>
        <w:rPr>
          <w:rtl/>
        </w:rPr>
        <w:tab/>
      </w:r>
      <w:r>
        <w:rPr>
          <w:rFonts w:hint="cs"/>
          <w:rtl/>
        </w:rPr>
        <w:t xml:space="preserve">רמב"ם הלכות אישות פ"י </w:t>
      </w:r>
      <w:proofErr w:type="spellStart"/>
      <w:r>
        <w:rPr>
          <w:rFonts w:hint="cs"/>
          <w:rtl/>
        </w:rPr>
        <w:t>הי"א</w:t>
      </w:r>
      <w:proofErr w:type="spellEnd"/>
      <w:r>
        <w:rPr>
          <w:rFonts w:hint="cs"/>
          <w:rtl/>
        </w:rPr>
        <w:t>.</w:t>
      </w:r>
    </w:p>
  </w:endnote>
  <w:endnote w:id="11">
    <w:p w:rsidR="000867E7" w:rsidRDefault="000867E7" w:rsidP="000867E7">
      <w:pPr>
        <w:pStyle w:val="a3"/>
        <w:rPr>
          <w:rFonts w:hint="cs"/>
        </w:rPr>
      </w:pPr>
      <w:r>
        <w:rPr>
          <w:rtl/>
        </w:rPr>
        <w:tab/>
      </w:r>
      <w:r w:rsidRPr="00944A81">
        <w:rPr>
          <w:rtl/>
        </w:rPr>
        <w:endnoteRef/>
      </w:r>
      <w:r>
        <w:rPr>
          <w:rtl/>
        </w:rPr>
        <w:t>.</w:t>
      </w:r>
      <w:r>
        <w:rPr>
          <w:rtl/>
        </w:rPr>
        <w:tab/>
      </w:r>
      <w:r>
        <w:rPr>
          <w:rFonts w:hint="cs"/>
          <w:rtl/>
        </w:rPr>
        <w:t>אסתר ח, ח.</w:t>
      </w:r>
    </w:p>
  </w:endnote>
  <w:endnote w:id="12">
    <w:p w:rsidR="000867E7" w:rsidRDefault="000867E7" w:rsidP="000867E7">
      <w:pPr>
        <w:pStyle w:val="a3"/>
        <w:rPr>
          <w:rFonts w:hint="cs"/>
          <w:rtl/>
        </w:rPr>
      </w:pPr>
      <w:r>
        <w:rPr>
          <w:rtl/>
        </w:rPr>
        <w:tab/>
      </w:r>
      <w:r w:rsidRPr="00944A81">
        <w:rPr>
          <w:rtl/>
        </w:rPr>
        <w:endnoteRef/>
      </w:r>
      <w:r>
        <w:rPr>
          <w:rtl/>
        </w:rPr>
        <w:t>.</w:t>
      </w:r>
      <w:r>
        <w:rPr>
          <w:rtl/>
        </w:rPr>
        <w:tab/>
      </w:r>
      <w:r>
        <w:rPr>
          <w:rFonts w:hint="cs"/>
          <w:rtl/>
        </w:rPr>
        <w:t xml:space="preserve">בראשית </w:t>
      </w:r>
      <w:proofErr w:type="spellStart"/>
      <w:r>
        <w:rPr>
          <w:rFonts w:hint="cs"/>
          <w:rtl/>
        </w:rPr>
        <w:t>מא</w:t>
      </w:r>
      <w:proofErr w:type="spellEnd"/>
      <w:r>
        <w:rPr>
          <w:rFonts w:hint="cs"/>
          <w:rtl/>
        </w:rPr>
        <w:t xml:space="preserve">, </w:t>
      </w:r>
      <w:proofErr w:type="spellStart"/>
      <w:r>
        <w:rPr>
          <w:rFonts w:hint="cs"/>
          <w:rtl/>
        </w:rPr>
        <w:t>מב</w:t>
      </w:r>
      <w:proofErr w:type="spellEnd"/>
      <w:r>
        <w:rPr>
          <w:rFonts w:hint="cs"/>
          <w:rtl/>
        </w:rPr>
        <w:t>.</w:t>
      </w:r>
    </w:p>
  </w:endnote>
  <w:endnote w:id="13">
    <w:p w:rsidR="000867E7" w:rsidRDefault="000867E7" w:rsidP="000867E7">
      <w:pPr>
        <w:pStyle w:val="a3"/>
        <w:rPr>
          <w:rFonts w:hint="cs"/>
          <w:rtl/>
        </w:rPr>
      </w:pPr>
      <w:r>
        <w:rPr>
          <w:rtl/>
        </w:rPr>
        <w:tab/>
      </w:r>
      <w:r w:rsidRPr="00944A81">
        <w:rPr>
          <w:rtl/>
        </w:rPr>
        <w:endnoteRef/>
      </w:r>
      <w:r>
        <w:rPr>
          <w:rtl/>
        </w:rPr>
        <w:t>.</w:t>
      </w:r>
      <w:r>
        <w:rPr>
          <w:rtl/>
        </w:rPr>
        <w:tab/>
      </w:r>
      <w:r>
        <w:rPr>
          <w:rFonts w:hint="cs"/>
          <w:rtl/>
        </w:rPr>
        <w:t>אסתר ח, ח.</w:t>
      </w:r>
    </w:p>
  </w:endnote>
  <w:endnote w:id="14">
    <w:p w:rsidR="000867E7" w:rsidRDefault="000867E7" w:rsidP="000867E7">
      <w:pPr>
        <w:pStyle w:val="a3"/>
        <w:rPr>
          <w:rFonts w:hint="cs"/>
        </w:rPr>
      </w:pPr>
      <w:r>
        <w:rPr>
          <w:rtl/>
        </w:rPr>
        <w:tab/>
      </w:r>
      <w:r w:rsidRPr="00944A81">
        <w:rPr>
          <w:rtl/>
        </w:rPr>
        <w:endnoteRef/>
      </w:r>
      <w:r>
        <w:rPr>
          <w:rtl/>
        </w:rPr>
        <w:t>.</w:t>
      </w:r>
      <w:r>
        <w:rPr>
          <w:rtl/>
        </w:rPr>
        <w:tab/>
      </w:r>
      <w:r>
        <w:rPr>
          <w:rFonts w:hint="cs"/>
          <w:rtl/>
        </w:rPr>
        <w:t xml:space="preserve">ע"פ ברכת "אמת ויציב". ראה מלכות ישראל </w:t>
      </w:r>
      <w:proofErr w:type="spellStart"/>
      <w:r>
        <w:rPr>
          <w:rFonts w:hint="cs"/>
          <w:rtl/>
        </w:rPr>
        <w:t>ח"ב</w:t>
      </w:r>
      <w:proofErr w:type="spellEnd"/>
      <w:r>
        <w:rPr>
          <w:rFonts w:hint="cs"/>
          <w:rtl/>
        </w:rPr>
        <w:t xml:space="preserve"> עמ' </w:t>
      </w:r>
      <w:proofErr w:type="spellStart"/>
      <w:r>
        <w:rPr>
          <w:rFonts w:hint="cs"/>
          <w:rtl/>
        </w:rPr>
        <w:t>קג</w:t>
      </w:r>
      <w:proofErr w:type="spellEnd"/>
      <w:r>
        <w:rPr>
          <w:rFonts w:hint="cs"/>
          <w:rtl/>
        </w:rPr>
        <w:t xml:space="preserve"> כי ענין זה הוא הפעולה העיקרית של המלך.</w:t>
      </w:r>
    </w:p>
  </w:endnote>
  <w:endnote w:id="15">
    <w:p w:rsidR="000867E7" w:rsidRDefault="000867E7" w:rsidP="000867E7">
      <w:pPr>
        <w:pStyle w:val="a3"/>
        <w:rPr>
          <w:rFonts w:hint="cs"/>
          <w:rtl/>
        </w:rPr>
      </w:pPr>
      <w:r>
        <w:rPr>
          <w:rtl/>
        </w:rPr>
        <w:tab/>
      </w:r>
      <w:r w:rsidRPr="00944A81">
        <w:rPr>
          <w:rtl/>
        </w:rPr>
        <w:endnoteRef/>
      </w:r>
      <w:r>
        <w:rPr>
          <w:rtl/>
        </w:rPr>
        <w:t>.</w:t>
      </w:r>
      <w:r>
        <w:rPr>
          <w:rtl/>
        </w:rPr>
        <w:tab/>
      </w:r>
      <w:r>
        <w:rPr>
          <w:rFonts w:hint="cs"/>
          <w:rtl/>
        </w:rPr>
        <w:t>פרי עץ חיים שער יום הכיפורים פרק ה (ושער הלולב פרק ד). שער הכוונות דרושי יום הכיפורים דרוש ה.</w:t>
      </w:r>
    </w:p>
  </w:endnote>
  <w:endnote w:id="16">
    <w:p w:rsidR="000867E7" w:rsidRDefault="000867E7" w:rsidP="000867E7">
      <w:pPr>
        <w:pStyle w:val="a3"/>
        <w:rPr>
          <w:rFonts w:hint="cs"/>
        </w:rPr>
      </w:pPr>
      <w:r>
        <w:rPr>
          <w:rtl/>
        </w:rPr>
        <w:tab/>
      </w:r>
      <w:r w:rsidRPr="00944A81">
        <w:rPr>
          <w:rtl/>
        </w:rPr>
        <w:endnoteRef/>
      </w:r>
      <w:r>
        <w:rPr>
          <w:rtl/>
        </w:rPr>
        <w:t>.</w:t>
      </w:r>
      <w:r>
        <w:rPr>
          <w:rtl/>
        </w:rPr>
        <w:tab/>
      </w:r>
      <w:r>
        <w:rPr>
          <w:rFonts w:hint="cs"/>
          <w:rtl/>
        </w:rPr>
        <w:t xml:space="preserve">פרקי דרבי אליעזר </w:t>
      </w:r>
      <w:proofErr w:type="spellStart"/>
      <w:r>
        <w:rPr>
          <w:rFonts w:hint="cs"/>
          <w:rtl/>
        </w:rPr>
        <w:t>פט"ז</w:t>
      </w:r>
      <w:proofErr w:type="spellEnd"/>
      <w:r>
        <w:rPr>
          <w:rFonts w:hint="cs"/>
          <w:rtl/>
        </w:rPr>
        <w:t>.</w:t>
      </w:r>
    </w:p>
  </w:endnote>
  <w:endnote w:id="17">
    <w:p w:rsidR="000867E7" w:rsidRDefault="000867E7" w:rsidP="000867E7">
      <w:pPr>
        <w:pStyle w:val="a3"/>
        <w:rPr>
          <w:rtl/>
        </w:rPr>
      </w:pPr>
      <w:r>
        <w:rPr>
          <w:rtl/>
        </w:rPr>
        <w:tab/>
      </w:r>
      <w:r w:rsidRPr="00944A81">
        <w:rPr>
          <w:rtl/>
        </w:rPr>
        <w:endnoteRef/>
      </w:r>
      <w:r>
        <w:rPr>
          <w:rtl/>
        </w:rPr>
        <w:t>.</w:t>
      </w:r>
      <w:r>
        <w:rPr>
          <w:rtl/>
        </w:rPr>
        <w:tab/>
      </w:r>
      <w:r>
        <w:rPr>
          <w:rFonts w:hint="cs"/>
          <w:rtl/>
        </w:rPr>
        <w:t xml:space="preserve">בראשית רבה </w:t>
      </w:r>
      <w:proofErr w:type="spellStart"/>
      <w:r>
        <w:rPr>
          <w:rFonts w:hint="cs"/>
          <w:rtl/>
        </w:rPr>
        <w:t>יז</w:t>
      </w:r>
      <w:proofErr w:type="spellEnd"/>
      <w:r>
        <w:rPr>
          <w:rFonts w:hint="cs"/>
          <w:rtl/>
        </w:rPr>
        <w:t xml:space="preserve">, ג; יבמות </w:t>
      </w:r>
      <w:proofErr w:type="spellStart"/>
      <w:r>
        <w:rPr>
          <w:rFonts w:hint="cs"/>
          <w:rtl/>
        </w:rPr>
        <w:t>סג</w:t>
      </w:r>
      <w:proofErr w:type="spellEnd"/>
      <w:r>
        <w:rPr>
          <w:rFonts w:hint="cs"/>
          <w:rtl/>
        </w:rPr>
        <w:t xml:space="preserve">, א. ראה באורך בהקדמת שכינה ביניהם כי גם ה"לא זכה 'כנגדו'" הוא לטובתו, כדי לזככו ולתקנו, וראה גם בשער ג בתורה "אחור וקדם </w:t>
      </w:r>
      <w:proofErr w:type="spellStart"/>
      <w:r>
        <w:rPr>
          <w:rFonts w:hint="cs"/>
          <w:rtl/>
        </w:rPr>
        <w:t>צרתני</w:t>
      </w:r>
      <w:proofErr w:type="spellEnd"/>
      <w:r>
        <w:rPr>
          <w:rFonts w:hint="cs"/>
          <w:rtl/>
        </w:rPr>
        <w:t>".</w:t>
      </w:r>
    </w:p>
  </w:endnote>
  <w:endnote w:id="18">
    <w:p w:rsidR="000867E7" w:rsidRDefault="000867E7" w:rsidP="000867E7">
      <w:pPr>
        <w:pStyle w:val="a3"/>
        <w:rPr>
          <w:rFonts w:hint="cs"/>
          <w:rtl/>
        </w:rPr>
      </w:pPr>
      <w:r>
        <w:rPr>
          <w:rtl/>
        </w:rPr>
        <w:tab/>
      </w:r>
      <w:r w:rsidRPr="00944A81">
        <w:rPr>
          <w:rtl/>
        </w:rPr>
        <w:endnoteRef/>
      </w:r>
      <w:r>
        <w:rPr>
          <w:rtl/>
        </w:rPr>
        <w:t>.</w:t>
      </w:r>
      <w:r>
        <w:rPr>
          <w:rtl/>
        </w:rPr>
        <w:tab/>
      </w:r>
      <w:r>
        <w:rPr>
          <w:rFonts w:hint="cs"/>
          <w:rtl/>
        </w:rPr>
        <w:t xml:space="preserve">בראשית ב, </w:t>
      </w:r>
      <w:proofErr w:type="spellStart"/>
      <w:r>
        <w:rPr>
          <w:rFonts w:hint="cs"/>
          <w:rtl/>
        </w:rPr>
        <w:t>יח</w:t>
      </w:r>
      <w:proofErr w:type="spellEnd"/>
      <w:r>
        <w:rPr>
          <w:rFonts w:hint="cs"/>
          <w:rtl/>
        </w:rPr>
        <w:t>.</w:t>
      </w:r>
    </w:p>
  </w:endnote>
  <w:endnote w:id="19">
    <w:p w:rsidR="000867E7" w:rsidRDefault="000867E7" w:rsidP="000867E7">
      <w:pPr>
        <w:pStyle w:val="a3"/>
        <w:rPr>
          <w:rFonts w:hint="cs"/>
          <w:rtl/>
        </w:rPr>
      </w:pPr>
      <w:r>
        <w:rPr>
          <w:rtl/>
        </w:rPr>
        <w:tab/>
      </w:r>
      <w:r w:rsidRPr="00944A81">
        <w:rPr>
          <w:rtl/>
        </w:rPr>
        <w:endnoteRef/>
      </w:r>
      <w:r>
        <w:rPr>
          <w:rtl/>
        </w:rPr>
        <w:t>.</w:t>
      </w:r>
      <w:r>
        <w:rPr>
          <w:rtl/>
        </w:rPr>
        <w:tab/>
      </w:r>
      <w:r>
        <w:rPr>
          <w:rFonts w:hint="cs"/>
          <w:rtl/>
        </w:rPr>
        <w:t>וראה גם חתן עם הכלה עמ' קצב-</w:t>
      </w:r>
      <w:proofErr w:type="spellStart"/>
      <w:r>
        <w:rPr>
          <w:rFonts w:hint="cs"/>
          <w:rtl/>
        </w:rPr>
        <w:t>קצג</w:t>
      </w:r>
      <w:proofErr w:type="spellEnd"/>
      <w:r>
        <w:rPr>
          <w:rFonts w:hint="cs"/>
          <w:rtl/>
        </w:rPr>
        <w:t>.</w:t>
      </w:r>
    </w:p>
  </w:endnote>
  <w:endnote w:id="20">
    <w:p w:rsidR="000867E7" w:rsidRDefault="000867E7" w:rsidP="000867E7">
      <w:pPr>
        <w:pStyle w:val="a3"/>
        <w:rPr>
          <w:rFonts w:hint="cs"/>
          <w:rtl/>
        </w:rPr>
      </w:pPr>
      <w:r>
        <w:rPr>
          <w:rtl/>
        </w:rPr>
        <w:tab/>
      </w:r>
      <w:r w:rsidRPr="00944A81">
        <w:rPr>
          <w:rtl/>
        </w:rPr>
        <w:endnoteRef/>
      </w:r>
      <w:r>
        <w:rPr>
          <w:rtl/>
        </w:rPr>
        <w:t>.</w:t>
      </w:r>
      <w:r>
        <w:rPr>
          <w:rtl/>
        </w:rPr>
        <w:tab/>
      </w:r>
      <w:r>
        <w:rPr>
          <w:rFonts w:hint="cs"/>
          <w:rtl/>
        </w:rPr>
        <w:t>ספר המנהגים עמ' 76.</w:t>
      </w:r>
    </w:p>
  </w:endnote>
  <w:endnote w:id="21">
    <w:p w:rsidR="000867E7" w:rsidRDefault="000867E7" w:rsidP="000867E7">
      <w:pPr>
        <w:pStyle w:val="a3"/>
        <w:rPr>
          <w:rFonts w:hint="cs"/>
          <w:rtl/>
        </w:rPr>
      </w:pPr>
      <w:r>
        <w:rPr>
          <w:rtl/>
        </w:rPr>
        <w:tab/>
      </w:r>
      <w:r w:rsidRPr="00944A81">
        <w:rPr>
          <w:rtl/>
        </w:rPr>
        <w:endnoteRef/>
      </w:r>
      <w:r>
        <w:rPr>
          <w:rtl/>
        </w:rPr>
        <w:t>.</w:t>
      </w:r>
      <w:r>
        <w:rPr>
          <w:rtl/>
        </w:rPr>
        <w:tab/>
      </w:r>
      <w:r>
        <w:rPr>
          <w:rFonts w:hint="cs"/>
          <w:rtl/>
        </w:rPr>
        <w:t>וראה עוד בתורה הבאה.</w:t>
      </w:r>
    </w:p>
  </w:endnote>
  <w:endnote w:id="22">
    <w:p w:rsidR="000867E7" w:rsidRDefault="000867E7" w:rsidP="000867E7">
      <w:pPr>
        <w:pStyle w:val="a3"/>
        <w:rPr>
          <w:rFonts w:hint="cs"/>
          <w:rtl/>
        </w:rPr>
      </w:pPr>
      <w:r>
        <w:rPr>
          <w:rtl/>
        </w:rPr>
        <w:tab/>
      </w:r>
      <w:r w:rsidRPr="00944A81">
        <w:rPr>
          <w:rtl/>
        </w:rPr>
        <w:endnoteRef/>
      </w:r>
      <w:r>
        <w:rPr>
          <w:rtl/>
        </w:rPr>
        <w:t>.</w:t>
      </w:r>
      <w:r>
        <w:rPr>
          <w:rtl/>
        </w:rPr>
        <w:tab/>
      </w:r>
      <w:r>
        <w:rPr>
          <w:rFonts w:hint="cs"/>
          <w:rtl/>
        </w:rPr>
        <w:t xml:space="preserve">תניא ראש </w:t>
      </w:r>
      <w:proofErr w:type="spellStart"/>
      <w:r>
        <w:rPr>
          <w:rFonts w:hint="cs"/>
          <w:rtl/>
        </w:rPr>
        <w:t>פי"ד</w:t>
      </w:r>
      <w:proofErr w:type="spellEnd"/>
      <w:r>
        <w:rPr>
          <w:rFonts w:hint="cs"/>
          <w:rtl/>
        </w:rPr>
        <w:t xml:space="preserve">. וראה רמב"ם הלכות תשובה פ"ג </w:t>
      </w:r>
      <w:proofErr w:type="spellStart"/>
      <w:r>
        <w:rPr>
          <w:rFonts w:hint="cs"/>
          <w:rtl/>
        </w:rPr>
        <w:t>ה"ד</w:t>
      </w:r>
      <w:proofErr w:type="spellEnd"/>
      <w:r>
        <w:rPr>
          <w:rFonts w:hint="cs"/>
          <w:rtl/>
        </w:rPr>
        <w:t>).</w:t>
      </w:r>
    </w:p>
  </w:endnote>
  <w:endnote w:id="23">
    <w:p w:rsidR="000867E7" w:rsidRDefault="000867E7" w:rsidP="000867E7">
      <w:pPr>
        <w:pStyle w:val="a3"/>
        <w:rPr>
          <w:rFonts w:hint="cs"/>
          <w:rtl/>
        </w:rPr>
      </w:pPr>
      <w:r>
        <w:rPr>
          <w:rtl/>
        </w:rPr>
        <w:tab/>
      </w:r>
      <w:r w:rsidRPr="00944A81">
        <w:rPr>
          <w:rtl/>
        </w:rPr>
        <w:endnoteRef/>
      </w:r>
      <w:r>
        <w:rPr>
          <w:rtl/>
        </w:rPr>
        <w:t>.</w:t>
      </w:r>
      <w:r>
        <w:rPr>
          <w:rtl/>
        </w:rPr>
        <w:tab/>
      </w:r>
      <w:r w:rsidRPr="003368E2">
        <w:rPr>
          <w:rtl/>
        </w:rPr>
        <w:t xml:space="preserve">ראה מועד קטן </w:t>
      </w:r>
      <w:proofErr w:type="spellStart"/>
      <w:r w:rsidRPr="003368E2">
        <w:rPr>
          <w:rtl/>
        </w:rPr>
        <w:t>טז</w:t>
      </w:r>
      <w:proofErr w:type="spellEnd"/>
      <w:r w:rsidRPr="003368E2">
        <w:rPr>
          <w:rtl/>
        </w:rPr>
        <w:t>, ב. תנא דבי אליהו רבה פרק 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oprFrank">
    <w:altName w:val="Courier New"/>
    <w:charset w:val="00"/>
    <w:family w:val="auto"/>
    <w:pitch w:val="variable"/>
    <w:sig w:usb0="00000000" w:usb1="5000004A" w:usb2="00000000" w:usb3="00000000" w:csb0="00000021"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292" w:rsidRDefault="00E84292" w:rsidP="000867E7">
      <w:pPr>
        <w:spacing w:after="0" w:line="240" w:lineRule="auto"/>
      </w:pPr>
      <w:r>
        <w:separator/>
      </w:r>
    </w:p>
  </w:footnote>
  <w:footnote w:type="continuationSeparator" w:id="0">
    <w:p w:rsidR="00E84292" w:rsidRDefault="00E84292" w:rsidP="000867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5C"/>
    <w:rsid w:val="00061E65"/>
    <w:rsid w:val="000867E7"/>
    <w:rsid w:val="00AC2310"/>
    <w:rsid w:val="00B0225C"/>
    <w:rsid w:val="00E842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0867E7"/>
    <w:pPr>
      <w:spacing w:after="0" w:line="240" w:lineRule="auto"/>
    </w:pPr>
    <w:rPr>
      <w:sz w:val="20"/>
      <w:szCs w:val="20"/>
    </w:rPr>
  </w:style>
  <w:style w:type="character" w:customStyle="1" w:styleId="a4">
    <w:name w:val="טקסט הערת סיום תו"/>
    <w:basedOn w:val="a0"/>
    <w:link w:val="a3"/>
    <w:uiPriority w:val="99"/>
    <w:semiHidden/>
    <w:rsid w:val="000867E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0867E7"/>
    <w:pPr>
      <w:spacing w:after="0" w:line="240" w:lineRule="auto"/>
    </w:pPr>
    <w:rPr>
      <w:sz w:val="20"/>
      <w:szCs w:val="20"/>
    </w:rPr>
  </w:style>
  <w:style w:type="character" w:customStyle="1" w:styleId="a4">
    <w:name w:val="טקסט הערת סיום תו"/>
    <w:basedOn w:val="a0"/>
    <w:link w:val="a3"/>
    <w:uiPriority w:val="99"/>
    <w:semiHidden/>
    <w:rsid w:val="000867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2970</Characters>
  <Application>Microsoft Office Word</Application>
  <DocSecurity>0</DocSecurity>
  <Lines>24</Lines>
  <Paragraphs>7</Paragraphs>
  <ScaleCrop>false</ScaleCrop>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2017-08-16T09:40:00Z</dcterms:created>
  <dcterms:modified xsi:type="dcterms:W3CDTF">2017-08-16T09:40:00Z</dcterms:modified>
</cp:coreProperties>
</file>