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D02" w:rsidRPr="00BF37B9" w:rsidRDefault="00187D02" w:rsidP="00187D02">
      <w:pPr>
        <w:pStyle w:val="2"/>
        <w:rPr>
          <w:rFonts w:hint="cs"/>
          <w:rtl/>
        </w:rPr>
      </w:pPr>
      <w:bookmarkStart w:id="0" w:name="_Toc302128595"/>
      <w:bookmarkStart w:id="1" w:name="_Ref302128838"/>
      <w:r w:rsidRPr="00BF37B9">
        <w:rPr>
          <w:rFonts w:hint="cs"/>
          <w:rtl/>
        </w:rPr>
        <w:t>"כתב אמת" ו"חותם אמת"</w:t>
      </w:r>
      <w:bookmarkEnd w:id="0"/>
      <w:bookmarkEnd w:id="1"/>
    </w:p>
    <w:p w:rsidR="00187D02" w:rsidRPr="002E2CC9" w:rsidRDefault="00187D02" w:rsidP="00187D02">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ת</w:t>
      </w:r>
    </w:p>
    <w:p w:rsidR="00187D02" w:rsidRPr="00BF37B9" w:rsidRDefault="00187D02" w:rsidP="00187D02">
      <w:pPr>
        <w:rPr>
          <w:rFonts w:hint="cs"/>
          <w:rtl/>
        </w:rPr>
      </w:pPr>
      <w:r w:rsidRPr="00BF37B9">
        <w:rPr>
          <w:rFonts w:hint="cs"/>
          <w:rtl/>
        </w:rPr>
        <w:t>חת החופה מתחילים בני הזוג בחיים חדשים</w:t>
      </w:r>
      <w:r w:rsidRPr="008636EE">
        <w:rPr>
          <w:rStyle w:val="a3"/>
          <w:rtl/>
        </w:rPr>
        <w:endnoteReference w:id="1"/>
      </w:r>
      <w:r w:rsidRPr="00BF37B9">
        <w:rPr>
          <w:rFonts w:hint="cs"/>
          <w:rtl/>
        </w:rPr>
        <w:t xml:space="preserve"> ובנקודת הראשית הזו הם מקיימים "כתיבה וחתימה טובה" בכתובה המבטאת את התחיבויותיו של האיש ובקנין הטבעת בו נמסר לאשה כח החתימה ב"טבעת המלך"</w:t>
      </w:r>
      <w:r w:rsidRPr="008636EE">
        <w:rPr>
          <w:rStyle w:val="a3"/>
          <w:rtl/>
        </w:rPr>
        <w:endnoteReference w:id="2"/>
      </w:r>
      <w:r w:rsidRPr="00BF37B9">
        <w:rPr>
          <w:rFonts w:hint="cs"/>
          <w:rtl/>
        </w:rPr>
        <w:t>.</w:t>
      </w:r>
    </w:p>
    <w:p w:rsidR="00187D02" w:rsidRPr="00BF37B9" w:rsidRDefault="00187D02" w:rsidP="00187D02">
      <w:pPr>
        <w:rPr>
          <w:rFonts w:hint="cs"/>
          <w:rtl/>
        </w:rPr>
      </w:pPr>
      <w:r w:rsidRPr="00BF37B9">
        <w:rPr>
          <w:rFonts w:hint="cs"/>
          <w:rtl/>
        </w:rPr>
        <w:t>כח הכתיבה שייך לדבור הפה, בסוד "לשוני עט סופר מהיר"</w:t>
      </w:r>
      <w:r w:rsidRPr="008636EE">
        <w:rPr>
          <w:rStyle w:val="a3"/>
          <w:rtl/>
        </w:rPr>
        <w:endnoteReference w:id="3"/>
      </w:r>
      <w:r w:rsidRPr="00BF37B9">
        <w:rPr>
          <w:rFonts w:hint="cs"/>
          <w:rtl/>
        </w:rPr>
        <w:t>. כח החתימה שייך לבחינת היסוד של החתן והכלה, בסוד "בריתך שחתמת בבשרנו"</w:t>
      </w:r>
      <w:r w:rsidRPr="008636EE">
        <w:rPr>
          <w:rStyle w:val="a3"/>
          <w:rtl/>
        </w:rPr>
        <w:endnoteReference w:id="4"/>
      </w:r>
      <w:r w:rsidRPr="00BF37B9">
        <w:rPr>
          <w:rFonts w:hint="cs"/>
          <w:rtl/>
        </w:rPr>
        <w:t xml:space="preserve"> ו"צאצאיו חתם באות ברית קדש"</w:t>
      </w:r>
      <w:r w:rsidRPr="008636EE">
        <w:rPr>
          <w:rStyle w:val="a3"/>
          <w:rtl/>
        </w:rPr>
        <w:endnoteReference w:id="5"/>
      </w:r>
      <w:r w:rsidRPr="00BF37B9">
        <w:rPr>
          <w:rFonts w:hint="cs"/>
          <w:rtl/>
        </w:rPr>
        <w:t>, וזיווגם הוא בחינת "חותם בתוך חותם"</w:t>
      </w:r>
      <w:r w:rsidRPr="008636EE">
        <w:rPr>
          <w:rStyle w:val="a3"/>
          <w:rtl/>
        </w:rPr>
        <w:endnoteReference w:id="6"/>
      </w:r>
      <w:r w:rsidRPr="00BF37B9">
        <w:rPr>
          <w:rFonts w:hint="cs"/>
          <w:rtl/>
        </w:rPr>
        <w:t>, חותם הדכורא בתוך חותם הנוקבא. אם כן, כתיבה וחתימה שייכות ל"ברית הלשון" ו"ברית המעור" המכוונות זו כנגד זו</w:t>
      </w:r>
      <w:r w:rsidRPr="008636EE">
        <w:rPr>
          <w:rStyle w:val="a3"/>
          <w:rtl/>
        </w:rPr>
        <w:endnoteReference w:id="7"/>
      </w:r>
      <w:r w:rsidRPr="00BF37B9">
        <w:rPr>
          <w:rFonts w:hint="cs"/>
          <w:rtl/>
        </w:rPr>
        <w:t>. ביטוי האהבה הראשון הוא בדבור, כאשר ראשית הקשר בין חתן וכלה הוא תיקון הדבור, אך החתימה הטובה היא ביחוד השלם על מנת להעמיד תולדות. סדר זה צריך להמשיך בכל חיי הנישואין, בעבודה של הטבת והידור ברית הלשון וברית המעור, כאשר תמיד קודם זיווג עליון (זיווג נשיקין) לזיווג תחתון (זיווג גופני), ושתי הבריתות מדייקות ומכוונות זו את זו ל"כתיבה וחתימה טובה".</w:t>
      </w:r>
    </w:p>
    <w:p w:rsidR="00187D02" w:rsidRPr="00BF37B9" w:rsidRDefault="00187D02" w:rsidP="00187D02">
      <w:pPr>
        <w:rPr>
          <w:rFonts w:hint="cs"/>
          <w:rtl/>
        </w:rPr>
      </w:pPr>
      <w:r w:rsidRPr="00BF37B9">
        <w:rPr>
          <w:rFonts w:hint="cs"/>
          <w:rtl/>
        </w:rPr>
        <w:t>כריתת ברית הנישואין באה לאמת את קשר האהבה בין בני הזוג, ועל ראשית הקשר הזה להיות בבחינת "ראש דברך אמת"</w:t>
      </w:r>
      <w:r w:rsidRPr="008636EE">
        <w:rPr>
          <w:rStyle w:val="a3"/>
          <w:rtl/>
        </w:rPr>
        <w:endnoteReference w:id="8"/>
      </w:r>
      <w:r w:rsidRPr="00BF37B9">
        <w:rPr>
          <w:rFonts w:hint="cs"/>
          <w:rtl/>
        </w:rPr>
        <w:t xml:space="preserve"> (פסוק הנדרש</w:t>
      </w:r>
      <w:r w:rsidRPr="008636EE">
        <w:rPr>
          <w:rStyle w:val="a3"/>
          <w:rtl/>
        </w:rPr>
        <w:endnoteReference w:id="9"/>
      </w:r>
      <w:r w:rsidRPr="00BF37B9">
        <w:rPr>
          <w:rFonts w:hint="cs"/>
          <w:rtl/>
        </w:rPr>
        <w:t xml:space="preserve"> על ראש השנה, בו מאחלים "כתיבה וחתימה טובה", ובכלל חדש תשרי הוא החדש השביעי</w:t>
      </w:r>
      <w:r w:rsidRPr="008636EE">
        <w:rPr>
          <w:rStyle w:val="a3"/>
          <w:rtl/>
        </w:rPr>
        <w:endnoteReference w:id="10"/>
      </w:r>
      <w:r w:rsidRPr="00BF37B9">
        <w:rPr>
          <w:rFonts w:hint="cs"/>
          <w:rtl/>
        </w:rPr>
        <w:t>, המכוון כנגד התיקון השביעי-החביב</w:t>
      </w:r>
      <w:r w:rsidRPr="008636EE">
        <w:rPr>
          <w:rStyle w:val="a3"/>
          <w:rtl/>
        </w:rPr>
        <w:endnoteReference w:id="11"/>
      </w:r>
      <w:r w:rsidRPr="00BF37B9">
        <w:rPr>
          <w:rFonts w:hint="cs"/>
          <w:rtl/>
        </w:rPr>
        <w:t xml:space="preserve"> ב-</w:t>
      </w:r>
      <w:r w:rsidRPr="00BF37B9">
        <w:rPr>
          <w:rFonts w:hint="cs"/>
          <w:b/>
          <w:bCs/>
          <w:sz w:val="28"/>
          <w:szCs w:val="28"/>
          <w:rtl/>
        </w:rPr>
        <w:t>יג</w:t>
      </w:r>
      <w:r w:rsidRPr="00BF37B9">
        <w:rPr>
          <w:rFonts w:hint="cs"/>
          <w:rtl/>
        </w:rPr>
        <w:t xml:space="preserve"> מדות הרחמים, תיקון "ואמת"</w:t>
      </w:r>
      <w:r w:rsidRPr="008636EE">
        <w:rPr>
          <w:rStyle w:val="a3"/>
          <w:rtl/>
        </w:rPr>
        <w:endnoteReference w:id="12"/>
      </w:r>
      <w:r w:rsidRPr="00BF37B9">
        <w:rPr>
          <w:rFonts w:hint="cs"/>
          <w:rtl/>
        </w:rPr>
        <w:t>). כך, עיקר וראשית תיקון ברית הלשון הם באמירת אמת, "אמת למד פיך"</w:t>
      </w:r>
      <w:r w:rsidRPr="008636EE">
        <w:rPr>
          <w:rStyle w:val="a3"/>
          <w:rtl/>
        </w:rPr>
        <w:endnoteReference w:id="13"/>
      </w:r>
      <w:r w:rsidRPr="00BF37B9">
        <w:rPr>
          <w:rFonts w:hint="cs"/>
          <w:rtl/>
        </w:rPr>
        <w:t>, והכתיבה צריכה להיות "בכתב אמת"</w:t>
      </w:r>
      <w:r w:rsidRPr="008636EE">
        <w:rPr>
          <w:rStyle w:val="a3"/>
          <w:rtl/>
        </w:rPr>
        <w:endnoteReference w:id="14"/>
      </w:r>
      <w:r w:rsidRPr="00BF37B9">
        <w:rPr>
          <w:rFonts w:hint="cs"/>
          <w:rtl/>
        </w:rPr>
        <w:t>. גם היסוד, ברית המעור, נקרא "חותם אמת"</w:t>
      </w:r>
      <w:r w:rsidRPr="008636EE">
        <w:rPr>
          <w:rStyle w:val="a3"/>
          <w:rtl/>
        </w:rPr>
        <w:endnoteReference w:id="15"/>
      </w:r>
      <w:r w:rsidRPr="00BF37B9">
        <w:rPr>
          <w:rFonts w:hint="cs"/>
          <w:rtl/>
        </w:rPr>
        <w:t xml:space="preserve"> </w:t>
      </w:r>
      <w:r w:rsidRPr="00BF37B9">
        <w:rPr>
          <w:rtl/>
        </w:rPr>
        <w:t>–</w:t>
      </w:r>
      <w:r w:rsidRPr="00BF37B9">
        <w:rPr>
          <w:rFonts w:hint="cs"/>
          <w:rtl/>
        </w:rPr>
        <w:t xml:space="preserve"> פנימיות מדת היסוד היא מדת האמת</w:t>
      </w:r>
      <w:r w:rsidRPr="008636EE">
        <w:rPr>
          <w:rStyle w:val="a3"/>
          <w:rtl/>
        </w:rPr>
        <w:endnoteReference w:id="16"/>
      </w:r>
      <w:r w:rsidRPr="00BF37B9">
        <w:rPr>
          <w:rFonts w:hint="cs"/>
          <w:rtl/>
        </w:rPr>
        <w:t xml:space="preserve"> ו"חותמו של הקדוש ברוך הוא אמת"</w:t>
      </w:r>
      <w:r w:rsidRPr="008636EE">
        <w:rPr>
          <w:rStyle w:val="a3"/>
          <w:rtl/>
        </w:rPr>
        <w:endnoteReference w:id="17"/>
      </w:r>
      <w:r w:rsidRPr="00BF37B9">
        <w:rPr>
          <w:rFonts w:hint="cs"/>
          <w:rtl/>
        </w:rPr>
        <w:t xml:space="preserve">. שתי הבחינות של "כתיבה וחתימה טובה" הן שתי בחינות של קשר ויחס אמתי </w:t>
      </w:r>
      <w:r w:rsidRPr="00BF37B9">
        <w:rPr>
          <w:rFonts w:hint="cs"/>
          <w:rtl/>
        </w:rPr>
        <w:lastRenderedPageBreak/>
        <w:t>בין האיש לאשתו ובין האשה לאישה, "והכל שריר ובריר וקיים"</w:t>
      </w:r>
      <w:r w:rsidRPr="008636EE">
        <w:rPr>
          <w:rStyle w:val="a3"/>
          <w:rtl/>
        </w:rPr>
        <w:endnoteReference w:id="18"/>
      </w:r>
      <w:r w:rsidRPr="00BF37B9">
        <w:rPr>
          <w:rFonts w:hint="cs"/>
          <w:rtl/>
        </w:rPr>
        <w:t>, "אמת ויציב"</w:t>
      </w:r>
      <w:r w:rsidRPr="008636EE">
        <w:rPr>
          <w:rStyle w:val="a3"/>
          <w:rtl/>
        </w:rPr>
        <w:endnoteReference w:id="19"/>
      </w:r>
      <w:r w:rsidRPr="00BF37B9">
        <w:rPr>
          <w:rFonts w:hint="cs"/>
          <w:rtl/>
        </w:rPr>
        <w:t>.</w:t>
      </w:r>
    </w:p>
    <w:p w:rsidR="00187D02" w:rsidRPr="00BF37B9" w:rsidRDefault="00187D02" w:rsidP="00187D02">
      <w:pPr>
        <w:rPr>
          <w:rFonts w:hint="cs"/>
          <w:rtl/>
        </w:rPr>
      </w:pPr>
      <w:r w:rsidRPr="00BF37B9">
        <w:rPr>
          <w:rFonts w:hint="cs"/>
          <w:rtl/>
        </w:rPr>
        <w:t xml:space="preserve">והנה, המלה </w:t>
      </w:r>
      <w:r w:rsidRPr="00BF37B9">
        <w:rPr>
          <w:rFonts w:hint="cs"/>
          <w:b/>
          <w:bCs/>
          <w:sz w:val="28"/>
          <w:szCs w:val="28"/>
          <w:rtl/>
        </w:rPr>
        <w:t>אמת</w:t>
      </w:r>
      <w:r w:rsidRPr="00BF37B9">
        <w:rPr>
          <w:rFonts w:hint="cs"/>
          <w:rtl/>
        </w:rPr>
        <w:t xml:space="preserve"> רומזת גם לביטוי "</w:t>
      </w:r>
      <w:r w:rsidRPr="00BF37B9">
        <w:rPr>
          <w:rFonts w:hint="cs"/>
          <w:b/>
          <w:bCs/>
          <w:sz w:val="28"/>
          <w:szCs w:val="28"/>
          <w:rtl/>
        </w:rPr>
        <w:t>א</w:t>
      </w:r>
      <w:r w:rsidRPr="00BF37B9">
        <w:rPr>
          <w:rFonts w:hint="cs"/>
          <w:rtl/>
        </w:rPr>
        <w:t xml:space="preserve">יש </w:t>
      </w:r>
      <w:r w:rsidRPr="00BF37B9">
        <w:rPr>
          <w:rFonts w:hint="cs"/>
          <w:b/>
          <w:bCs/>
          <w:sz w:val="28"/>
          <w:szCs w:val="28"/>
          <w:rtl/>
        </w:rPr>
        <w:t>מ</w:t>
      </w:r>
      <w:r w:rsidRPr="00BF37B9">
        <w:rPr>
          <w:rFonts w:hint="cs"/>
          <w:rtl/>
        </w:rPr>
        <w:t xml:space="preserve">זריע </w:t>
      </w:r>
      <w:r w:rsidRPr="00BF37B9">
        <w:rPr>
          <w:rFonts w:hint="cs"/>
          <w:b/>
          <w:bCs/>
          <w:sz w:val="28"/>
          <w:szCs w:val="28"/>
          <w:rtl/>
        </w:rPr>
        <w:t>ת</w:t>
      </w:r>
      <w:r w:rsidRPr="00BF37B9">
        <w:rPr>
          <w:rFonts w:hint="cs"/>
          <w:rtl/>
        </w:rPr>
        <w:t>חלה" וגם לביטוי "</w:t>
      </w:r>
      <w:r w:rsidRPr="00BF37B9">
        <w:rPr>
          <w:rFonts w:hint="cs"/>
          <w:b/>
          <w:bCs/>
          <w:sz w:val="28"/>
          <w:szCs w:val="28"/>
          <w:rtl/>
        </w:rPr>
        <w:t>א</w:t>
      </w:r>
      <w:r w:rsidRPr="00BF37B9">
        <w:rPr>
          <w:rFonts w:hint="cs"/>
          <w:rtl/>
        </w:rPr>
        <w:t xml:space="preserve">שה </w:t>
      </w:r>
      <w:r w:rsidRPr="00BF37B9">
        <w:rPr>
          <w:rFonts w:hint="cs"/>
          <w:b/>
          <w:bCs/>
          <w:sz w:val="28"/>
          <w:szCs w:val="28"/>
          <w:rtl/>
        </w:rPr>
        <w:t>מ</w:t>
      </w:r>
      <w:r w:rsidRPr="00BF37B9">
        <w:rPr>
          <w:rFonts w:hint="cs"/>
          <w:rtl/>
        </w:rPr>
        <w:t xml:space="preserve">זרעת </w:t>
      </w:r>
      <w:r w:rsidRPr="00BF37B9">
        <w:rPr>
          <w:rFonts w:hint="cs"/>
          <w:b/>
          <w:bCs/>
          <w:sz w:val="28"/>
          <w:szCs w:val="28"/>
          <w:rtl/>
        </w:rPr>
        <w:t>ת</w:t>
      </w:r>
      <w:r w:rsidRPr="00BF37B9">
        <w:rPr>
          <w:rFonts w:hint="cs"/>
          <w:rtl/>
        </w:rPr>
        <w:t>חלה"</w:t>
      </w:r>
      <w:r w:rsidRPr="008636EE">
        <w:rPr>
          <w:rStyle w:val="a3"/>
          <w:rtl/>
        </w:rPr>
        <w:endnoteReference w:id="20"/>
      </w:r>
      <w:r w:rsidRPr="00BF37B9">
        <w:rPr>
          <w:rFonts w:hint="cs"/>
          <w:rtl/>
        </w:rPr>
        <w:t xml:space="preserve">. בתיקון הדבור, </w:t>
      </w:r>
      <w:r>
        <w:rPr>
          <w:rFonts w:hint="cs"/>
          <w:rtl/>
        </w:rPr>
        <w:t>פיוס ו</w:t>
      </w:r>
      <w:r w:rsidRPr="00BF37B9">
        <w:rPr>
          <w:rFonts w:hint="cs"/>
          <w:rtl/>
        </w:rPr>
        <w:t>חיזור של "דברי אהבה וחסד"</w:t>
      </w:r>
      <w:r w:rsidRPr="008636EE">
        <w:rPr>
          <w:rStyle w:val="a3"/>
          <w:rtl/>
        </w:rPr>
        <w:endnoteReference w:id="21"/>
      </w:r>
      <w:r w:rsidRPr="00BF37B9">
        <w:rPr>
          <w:rFonts w:hint="cs"/>
          <w:rtl/>
        </w:rPr>
        <w:t xml:space="preserve"> </w:t>
      </w:r>
      <w:r>
        <w:rPr>
          <w:rFonts w:hint="cs"/>
          <w:rtl/>
        </w:rPr>
        <w:t>(</w:t>
      </w:r>
      <w:r w:rsidRPr="00BF37B9">
        <w:rPr>
          <w:rFonts w:hint="cs"/>
          <w:rtl/>
        </w:rPr>
        <w:t>הבא לידי סיכום בכתובה</w:t>
      </w:r>
      <w:r>
        <w:rPr>
          <w:rFonts w:hint="cs"/>
          <w:rtl/>
        </w:rPr>
        <w:t>)</w:t>
      </w:r>
      <w:r w:rsidRPr="00BF37B9">
        <w:rPr>
          <w:rFonts w:hint="cs"/>
          <w:rtl/>
        </w:rPr>
        <w:t>, צריך להיות "</w:t>
      </w:r>
      <w:r w:rsidRPr="00BF37B9">
        <w:rPr>
          <w:rFonts w:hint="cs"/>
          <w:b/>
          <w:bCs/>
          <w:sz w:val="28"/>
          <w:szCs w:val="28"/>
          <w:rtl/>
        </w:rPr>
        <w:t>א</w:t>
      </w:r>
      <w:r w:rsidRPr="00BF37B9">
        <w:rPr>
          <w:rFonts w:hint="cs"/>
          <w:rtl/>
        </w:rPr>
        <w:t xml:space="preserve">יש </w:t>
      </w:r>
      <w:r w:rsidRPr="00BF37B9">
        <w:rPr>
          <w:rFonts w:hint="cs"/>
          <w:b/>
          <w:bCs/>
          <w:sz w:val="28"/>
          <w:szCs w:val="28"/>
          <w:rtl/>
        </w:rPr>
        <w:t>מ</w:t>
      </w:r>
      <w:r w:rsidRPr="00BF37B9">
        <w:rPr>
          <w:rFonts w:hint="cs"/>
          <w:rtl/>
        </w:rPr>
        <w:t xml:space="preserve">זריע </w:t>
      </w:r>
      <w:r w:rsidRPr="00BF37B9">
        <w:rPr>
          <w:rFonts w:hint="cs"/>
          <w:b/>
          <w:bCs/>
          <w:sz w:val="28"/>
          <w:szCs w:val="28"/>
          <w:rtl/>
        </w:rPr>
        <w:t>ת</w:t>
      </w:r>
      <w:r w:rsidRPr="00BF37B9">
        <w:rPr>
          <w:rFonts w:hint="cs"/>
          <w:rtl/>
        </w:rPr>
        <w:t>חלה". בתיקון הברית בזיווג הקדוש, "חותם בתוך חותם", צריך להיות "אשה מזרעת תחלה". על אף שהסדר עובר מהזיווג העליון של "ברית הלשון" לזיווג התחתון של "ברית המעור", כמו בביטוי "כתיבה וחתימה טובה" ובברכת "המקדש עמו ישראל על ידי חֻפה וקידושין"</w:t>
      </w:r>
      <w:r w:rsidRPr="008636EE">
        <w:rPr>
          <w:rStyle w:val="a3"/>
          <w:rtl/>
        </w:rPr>
        <w:endnoteReference w:id="22"/>
      </w:r>
      <w:r w:rsidRPr="00BF37B9">
        <w:rPr>
          <w:rFonts w:hint="cs"/>
          <w:rtl/>
        </w:rPr>
        <w:t>, הרי שבחינת ה"תחלה" של "אשה מזרעת תחלה" עולה וגוברת (כאמור ביהונתן ודוד, המכוונים כנגד היסוד והמלכות</w:t>
      </w:r>
      <w:r w:rsidRPr="008636EE">
        <w:rPr>
          <w:rStyle w:val="a3"/>
          <w:rtl/>
        </w:rPr>
        <w:endnoteReference w:id="23"/>
      </w:r>
      <w:r w:rsidRPr="00BF37B9">
        <w:rPr>
          <w:rFonts w:hint="cs"/>
          <w:rtl/>
        </w:rPr>
        <w:t>, "עד דוד הגדיל"</w:t>
      </w:r>
      <w:r w:rsidRPr="008636EE">
        <w:rPr>
          <w:rStyle w:val="a3"/>
          <w:rtl/>
        </w:rPr>
        <w:endnoteReference w:id="24"/>
      </w:r>
      <w:r w:rsidRPr="00BF37B9">
        <w:rPr>
          <w:rFonts w:hint="cs"/>
          <w:rtl/>
        </w:rPr>
        <w:t>), דבר המתבטא בסדר המציאותי (ו"המעשה הוא העיקר"</w:t>
      </w:r>
      <w:r w:rsidRPr="008636EE">
        <w:rPr>
          <w:rStyle w:val="a3"/>
          <w:rtl/>
        </w:rPr>
        <w:endnoteReference w:id="25"/>
      </w:r>
      <w:r w:rsidRPr="00BF37B9">
        <w:rPr>
          <w:rFonts w:hint="cs"/>
          <w:rtl/>
        </w:rPr>
        <w:t xml:space="preserve">) בו טבעת הקידושין קודמת להתחייבות הכתובה. </w:t>
      </w:r>
    </w:p>
    <w:p w:rsidR="00187D02" w:rsidRPr="00BF37B9" w:rsidRDefault="00187D02" w:rsidP="00187D02">
      <w:pPr>
        <w:rPr>
          <w:rFonts w:hint="cs"/>
          <w:rtl/>
        </w:rPr>
      </w:pPr>
      <w:r w:rsidRPr="00BF37B9">
        <w:rPr>
          <w:rFonts w:hint="cs"/>
          <w:rtl/>
        </w:rPr>
        <w:t>כך גם ביחוד הקדוש עצמו, אחת העצות "כדי שיזריעו נשותיהן תחלה שיהו בניהם זכרים" היא "יבעול וישנה"</w:t>
      </w:r>
      <w:r w:rsidRPr="008636EE">
        <w:rPr>
          <w:rStyle w:val="a3"/>
          <w:rtl/>
        </w:rPr>
        <w:endnoteReference w:id="26"/>
      </w:r>
      <w:r w:rsidRPr="00BF37B9">
        <w:rPr>
          <w:rFonts w:hint="cs"/>
          <w:rtl/>
        </w:rPr>
        <w:t>, וכפירוש רש"י: "</w:t>
      </w:r>
      <w:r w:rsidRPr="00BF37B9">
        <w:rPr>
          <w:rtl/>
        </w:rPr>
        <w:t>שמתוך תאות בעילה ראשונה תהא מזרעת</w:t>
      </w:r>
      <w:r w:rsidRPr="00BF37B9">
        <w:rPr>
          <w:rFonts w:hint="cs"/>
          <w:rtl/>
        </w:rPr>
        <w:t>,</w:t>
      </w:r>
      <w:r w:rsidRPr="00BF37B9">
        <w:rPr>
          <w:rtl/>
        </w:rPr>
        <w:t xml:space="preserve"> ונהי נמי דתזריע אחריו תקדום הזרעתה בבעילה שניה</w:t>
      </w:r>
      <w:r w:rsidRPr="00BF37B9">
        <w:rPr>
          <w:rFonts w:hint="cs"/>
          <w:rtl/>
        </w:rPr>
        <w:t>". לכאורה, מי יערוב לכך שהאשה תתעבר דווקא מהביאה השניה, בה התקיים "אשה מזרעת תחלה", ולא מהביאה הראשונה, בה התקיים "איש מזריע תחלה"? אלא ש"תתאה גבר"</w:t>
      </w:r>
      <w:r w:rsidRPr="008636EE">
        <w:rPr>
          <w:rStyle w:val="a3"/>
          <w:rtl/>
        </w:rPr>
        <w:endnoteReference w:id="27"/>
      </w:r>
      <w:r w:rsidRPr="00BF37B9">
        <w:rPr>
          <w:rFonts w:hint="cs"/>
          <w:rtl/>
        </w:rPr>
        <w:t xml:space="preserve"> וכח ה"אשה מזרעת תחלה" כה רב עד שהוא גובר על מה שהיה בביאה הראשונה ומבטל אותו, "עד דוד הגדיל" ו"אשת חיל עטרת בעלה"</w:t>
      </w:r>
      <w:r w:rsidRPr="008636EE">
        <w:rPr>
          <w:rStyle w:val="a3"/>
          <w:rtl/>
        </w:rPr>
        <w:endnoteReference w:id="28"/>
      </w:r>
      <w:r w:rsidRPr="00BF37B9">
        <w:rPr>
          <w:rFonts w:hint="cs"/>
          <w:rtl/>
        </w:rPr>
        <w:t>.</w:t>
      </w:r>
    </w:p>
    <w:p w:rsidR="005F4A47" w:rsidRDefault="00531879">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879" w:rsidRDefault="00531879" w:rsidP="00187D02">
      <w:pPr>
        <w:spacing w:after="0" w:line="240" w:lineRule="auto"/>
      </w:pPr>
      <w:r>
        <w:separator/>
      </w:r>
    </w:p>
  </w:endnote>
  <w:endnote w:type="continuationSeparator" w:id="0">
    <w:p w:rsidR="00531879" w:rsidRDefault="00531879" w:rsidP="00187D02">
      <w:pPr>
        <w:spacing w:after="0" w:line="240" w:lineRule="auto"/>
      </w:pPr>
      <w:r>
        <w:continuationSeparator/>
      </w:r>
    </w:p>
  </w:endnote>
  <w:endnote w:id="1">
    <w:p w:rsidR="00187D02" w:rsidRDefault="00187D02" w:rsidP="00187D02">
      <w:pPr>
        <w:pStyle w:val="a4"/>
        <w:rPr>
          <w:rFonts w:hint="cs"/>
          <w:rtl/>
        </w:rPr>
      </w:pPr>
      <w:r>
        <w:rPr>
          <w:rtl/>
        </w:rPr>
        <w:tab/>
      </w:r>
      <w:r w:rsidRPr="00944A81">
        <w:rPr>
          <w:rtl/>
        </w:rPr>
        <w:endnoteRef/>
      </w:r>
      <w:r>
        <w:rPr>
          <w:rtl/>
        </w:rPr>
        <w:t>.</w:t>
      </w:r>
      <w:r>
        <w:rPr>
          <w:rtl/>
        </w:rPr>
        <w:tab/>
      </w:r>
      <w:r>
        <w:rPr>
          <w:rFonts w:hint="cs"/>
          <w:rtl/>
        </w:rPr>
        <w:t>ראה מעין גנים ח"א פרשת ויצא הערה א.</w:t>
      </w:r>
    </w:p>
  </w:endnote>
  <w:endnote w:id="2">
    <w:p w:rsidR="00187D02" w:rsidRDefault="00187D02" w:rsidP="00187D02">
      <w:pPr>
        <w:pStyle w:val="a4"/>
        <w:rPr>
          <w:rFonts w:hint="cs"/>
          <w:rtl/>
        </w:rPr>
      </w:pPr>
      <w:r>
        <w:rPr>
          <w:rtl/>
        </w:rPr>
        <w:tab/>
      </w:r>
      <w:r w:rsidRPr="00944A81">
        <w:rPr>
          <w:rtl/>
        </w:rPr>
        <w:endnoteRef/>
      </w:r>
      <w:r>
        <w:rPr>
          <w:rtl/>
        </w:rPr>
        <w:t>.</w:t>
      </w:r>
      <w:r>
        <w:rPr>
          <w:rtl/>
        </w:rPr>
        <w:tab/>
      </w:r>
      <w:r>
        <w:rPr>
          <w:rFonts w:hint="cs"/>
          <w:rtl/>
        </w:rPr>
        <w:t>כפי שהתבאר בארוכה בתורה הקודמת.</w:t>
      </w:r>
    </w:p>
  </w:endnote>
  <w:endnote w:id="3">
    <w:p w:rsidR="00187D02" w:rsidRDefault="00187D02" w:rsidP="00187D02">
      <w:pPr>
        <w:pStyle w:val="a4"/>
        <w:rPr>
          <w:rFonts w:hint="cs"/>
        </w:rPr>
      </w:pPr>
      <w:r>
        <w:rPr>
          <w:rtl/>
        </w:rPr>
        <w:tab/>
      </w:r>
      <w:r w:rsidRPr="00944A81">
        <w:rPr>
          <w:rtl/>
        </w:rPr>
        <w:endnoteRef/>
      </w:r>
      <w:r>
        <w:rPr>
          <w:rtl/>
        </w:rPr>
        <w:t>.</w:t>
      </w:r>
      <w:r>
        <w:rPr>
          <w:rtl/>
        </w:rPr>
        <w:tab/>
      </w:r>
      <w:r>
        <w:rPr>
          <w:rFonts w:hint="cs"/>
          <w:rtl/>
        </w:rPr>
        <w:t xml:space="preserve"> תהלים מה, ב.</w:t>
      </w:r>
    </w:p>
  </w:endnote>
  <w:endnote w:id="4">
    <w:p w:rsidR="00187D02" w:rsidRDefault="00187D02" w:rsidP="00187D02">
      <w:pPr>
        <w:pStyle w:val="a4"/>
        <w:rPr>
          <w:rFonts w:hint="cs"/>
        </w:rPr>
      </w:pPr>
      <w:r>
        <w:rPr>
          <w:rtl/>
        </w:rPr>
        <w:tab/>
      </w:r>
      <w:r w:rsidRPr="00944A81">
        <w:rPr>
          <w:rtl/>
        </w:rPr>
        <w:endnoteRef/>
      </w:r>
      <w:r>
        <w:rPr>
          <w:rtl/>
        </w:rPr>
        <w:t>.</w:t>
      </w:r>
      <w:r>
        <w:rPr>
          <w:rtl/>
        </w:rPr>
        <w:tab/>
      </w:r>
      <w:r>
        <w:rPr>
          <w:rFonts w:hint="cs"/>
          <w:rtl/>
        </w:rPr>
        <w:t>נוסח ברכת המזון.</w:t>
      </w:r>
    </w:p>
  </w:endnote>
  <w:endnote w:id="5">
    <w:p w:rsidR="00187D02" w:rsidRDefault="00187D02" w:rsidP="00187D02">
      <w:pPr>
        <w:pStyle w:val="a4"/>
        <w:rPr>
          <w:rFonts w:hint="cs"/>
        </w:rPr>
      </w:pPr>
      <w:r>
        <w:rPr>
          <w:rtl/>
        </w:rPr>
        <w:tab/>
      </w:r>
      <w:r w:rsidRPr="00944A81">
        <w:rPr>
          <w:rtl/>
        </w:rPr>
        <w:endnoteRef/>
      </w:r>
      <w:r>
        <w:rPr>
          <w:rtl/>
        </w:rPr>
        <w:t>.</w:t>
      </w:r>
      <w:r>
        <w:rPr>
          <w:rtl/>
        </w:rPr>
        <w:tab/>
      </w:r>
      <w:r>
        <w:rPr>
          <w:rFonts w:hint="cs"/>
          <w:rtl/>
        </w:rPr>
        <w:t>נוסח ברכת המילה.</w:t>
      </w:r>
    </w:p>
  </w:endnote>
  <w:endnote w:id="6">
    <w:p w:rsidR="00187D02" w:rsidRDefault="00187D02" w:rsidP="00187D02">
      <w:pPr>
        <w:pStyle w:val="a4"/>
        <w:rPr>
          <w:rFonts w:hint="cs"/>
        </w:rPr>
      </w:pPr>
      <w:r>
        <w:rPr>
          <w:rtl/>
        </w:rPr>
        <w:tab/>
      </w:r>
      <w:r w:rsidRPr="00944A81">
        <w:rPr>
          <w:rtl/>
        </w:rPr>
        <w:endnoteRef/>
      </w:r>
      <w:r>
        <w:rPr>
          <w:rtl/>
        </w:rPr>
        <w:t>.</w:t>
      </w:r>
      <w:r>
        <w:rPr>
          <w:rtl/>
        </w:rPr>
        <w:tab/>
      </w:r>
      <w:r>
        <w:rPr>
          <w:rFonts w:hint="cs"/>
          <w:rtl/>
        </w:rPr>
        <w:t>עץ חיים של"ד פ"ו (מ"ב) ובכ"ד.</w:t>
      </w:r>
    </w:p>
  </w:endnote>
  <w:endnote w:id="7">
    <w:p w:rsidR="00187D02" w:rsidRDefault="00187D02" w:rsidP="00187D02">
      <w:pPr>
        <w:pStyle w:val="a4"/>
        <w:rPr>
          <w:rFonts w:hint="cs"/>
          <w:rtl/>
        </w:rPr>
      </w:pPr>
      <w:r>
        <w:rPr>
          <w:rtl/>
        </w:rPr>
        <w:tab/>
      </w:r>
      <w:r w:rsidRPr="00944A81">
        <w:rPr>
          <w:rtl/>
        </w:rPr>
        <w:endnoteRef/>
      </w:r>
      <w:r>
        <w:rPr>
          <w:rtl/>
        </w:rPr>
        <w:t>.</w:t>
      </w:r>
      <w:r>
        <w:rPr>
          <w:rtl/>
        </w:rPr>
        <w:tab/>
      </w:r>
      <w:r>
        <w:rPr>
          <w:rFonts w:hint="cs"/>
          <w:rtl/>
        </w:rPr>
        <w:t>ספר יצירה פ"א מ"ג.</w:t>
      </w:r>
    </w:p>
  </w:endnote>
  <w:endnote w:id="8">
    <w:p w:rsidR="00187D02" w:rsidRDefault="00187D02" w:rsidP="00187D02">
      <w:pPr>
        <w:pStyle w:val="a4"/>
        <w:rPr>
          <w:rFonts w:hint="cs"/>
          <w:rtl/>
        </w:rPr>
      </w:pPr>
      <w:r>
        <w:rPr>
          <w:rtl/>
        </w:rPr>
        <w:tab/>
      </w:r>
      <w:r w:rsidRPr="00944A81">
        <w:rPr>
          <w:rtl/>
        </w:rPr>
        <w:endnoteRef/>
      </w:r>
      <w:r>
        <w:rPr>
          <w:rtl/>
        </w:rPr>
        <w:t>.</w:t>
      </w:r>
      <w:r>
        <w:rPr>
          <w:rtl/>
        </w:rPr>
        <w:tab/>
      </w:r>
      <w:r>
        <w:rPr>
          <w:rFonts w:hint="cs"/>
          <w:rtl/>
        </w:rPr>
        <w:t>תהלים קיט, קס.</w:t>
      </w:r>
    </w:p>
  </w:endnote>
  <w:endnote w:id="9">
    <w:p w:rsidR="00187D02" w:rsidRDefault="00187D02" w:rsidP="00187D02">
      <w:pPr>
        <w:pStyle w:val="a4"/>
        <w:rPr>
          <w:rFonts w:hint="cs"/>
          <w:rtl/>
        </w:rPr>
      </w:pPr>
      <w:r>
        <w:rPr>
          <w:rtl/>
        </w:rPr>
        <w:tab/>
      </w:r>
      <w:r w:rsidRPr="00944A81">
        <w:rPr>
          <w:rtl/>
        </w:rPr>
        <w:endnoteRef/>
      </w:r>
      <w:r>
        <w:rPr>
          <w:rtl/>
        </w:rPr>
        <w:t>.</w:t>
      </w:r>
      <w:r>
        <w:rPr>
          <w:rtl/>
        </w:rPr>
        <w:tab/>
      </w:r>
      <w:r>
        <w:rPr>
          <w:rFonts w:hint="cs"/>
          <w:rtl/>
        </w:rPr>
        <w:t>ראה ספר חסידים סימן רנח, ליקוטי הלכות הלכות רבית הלכה ה. אמרי אמת לר"ה ולשבת שובה.</w:t>
      </w:r>
    </w:p>
  </w:endnote>
  <w:endnote w:id="10">
    <w:p w:rsidR="00187D02" w:rsidRDefault="00187D02" w:rsidP="00187D02">
      <w:pPr>
        <w:pStyle w:val="a4"/>
        <w:rPr>
          <w:rFonts w:hint="cs"/>
        </w:rPr>
      </w:pPr>
      <w:r>
        <w:rPr>
          <w:rtl/>
        </w:rPr>
        <w:tab/>
      </w:r>
      <w:r w:rsidRPr="00944A81">
        <w:rPr>
          <w:rtl/>
        </w:rPr>
        <w:endnoteRef/>
      </w:r>
      <w:r>
        <w:rPr>
          <w:rtl/>
        </w:rPr>
        <w:t>.</w:t>
      </w:r>
      <w:r>
        <w:rPr>
          <w:rtl/>
        </w:rPr>
        <w:tab/>
      </w:r>
      <w:r>
        <w:rPr>
          <w:rFonts w:hint="cs"/>
          <w:rtl/>
        </w:rPr>
        <w:t>ויקרא כג, כד.</w:t>
      </w:r>
    </w:p>
  </w:endnote>
  <w:endnote w:id="11">
    <w:p w:rsidR="00187D02" w:rsidRDefault="00187D02" w:rsidP="00187D02">
      <w:pPr>
        <w:pStyle w:val="a4"/>
        <w:rPr>
          <w:rFonts w:hint="cs"/>
        </w:rPr>
      </w:pPr>
      <w:r>
        <w:rPr>
          <w:rtl/>
        </w:rPr>
        <w:tab/>
      </w:r>
      <w:r w:rsidRPr="00944A81">
        <w:rPr>
          <w:rtl/>
        </w:rPr>
        <w:endnoteRef/>
      </w:r>
      <w:r>
        <w:rPr>
          <w:rtl/>
        </w:rPr>
        <w:t>.</w:t>
      </w:r>
      <w:r>
        <w:rPr>
          <w:rtl/>
        </w:rPr>
        <w:tab/>
      </w:r>
      <w:r>
        <w:rPr>
          <w:rFonts w:hint="cs"/>
          <w:rtl/>
        </w:rPr>
        <w:t>ויקרא רבה כט, יא.</w:t>
      </w:r>
    </w:p>
  </w:endnote>
  <w:endnote w:id="12">
    <w:p w:rsidR="00187D02" w:rsidRDefault="00187D02" w:rsidP="00187D02">
      <w:pPr>
        <w:pStyle w:val="a4"/>
        <w:rPr>
          <w:rFonts w:hint="cs"/>
          <w:rtl/>
        </w:rPr>
      </w:pPr>
      <w:r>
        <w:rPr>
          <w:rtl/>
        </w:rPr>
        <w:tab/>
      </w:r>
      <w:r w:rsidRPr="00944A81">
        <w:rPr>
          <w:rtl/>
        </w:rPr>
        <w:endnoteRef/>
      </w:r>
      <w:r>
        <w:rPr>
          <w:rtl/>
        </w:rPr>
        <w:t>.</w:t>
      </w:r>
      <w:r>
        <w:rPr>
          <w:rtl/>
        </w:rPr>
        <w:tab/>
      </w:r>
      <w:r>
        <w:rPr>
          <w:rFonts w:hint="cs"/>
          <w:rtl/>
        </w:rPr>
        <w:t>שמות לד, ו. וראה גם שערי אהבה ורצון עמ' רכו.</w:t>
      </w:r>
    </w:p>
  </w:endnote>
  <w:endnote w:id="13">
    <w:p w:rsidR="00187D02" w:rsidRDefault="00187D02" w:rsidP="00187D02">
      <w:pPr>
        <w:pStyle w:val="a4"/>
        <w:rPr>
          <w:rFonts w:hint="cs"/>
          <w:rtl/>
        </w:rPr>
      </w:pPr>
      <w:r>
        <w:rPr>
          <w:rtl/>
        </w:rPr>
        <w:tab/>
      </w:r>
      <w:r w:rsidRPr="00944A81">
        <w:rPr>
          <w:rtl/>
        </w:rPr>
        <w:endnoteRef/>
      </w:r>
      <w:r>
        <w:rPr>
          <w:rtl/>
        </w:rPr>
        <w:t>.</w:t>
      </w:r>
      <w:r>
        <w:rPr>
          <w:rtl/>
        </w:rPr>
        <w:tab/>
      </w:r>
      <w:r>
        <w:rPr>
          <w:rFonts w:hint="cs"/>
          <w:rtl/>
        </w:rPr>
        <w:t>אותיות דרבי עקיבא.</w:t>
      </w:r>
    </w:p>
  </w:endnote>
  <w:endnote w:id="14">
    <w:p w:rsidR="00187D02" w:rsidRDefault="00187D02" w:rsidP="00187D02">
      <w:pPr>
        <w:pStyle w:val="a4"/>
        <w:rPr>
          <w:rFonts w:hint="cs"/>
          <w:rtl/>
        </w:rPr>
      </w:pPr>
      <w:r>
        <w:rPr>
          <w:rtl/>
        </w:rPr>
        <w:tab/>
      </w:r>
      <w:r w:rsidRPr="00944A81">
        <w:rPr>
          <w:rtl/>
        </w:rPr>
        <w:endnoteRef/>
      </w:r>
      <w:r>
        <w:rPr>
          <w:rtl/>
        </w:rPr>
        <w:t>.</w:t>
      </w:r>
      <w:r>
        <w:rPr>
          <w:rtl/>
        </w:rPr>
        <w:tab/>
      </w:r>
      <w:r>
        <w:rPr>
          <w:rFonts w:hint="cs"/>
          <w:rtl/>
        </w:rPr>
        <w:t xml:space="preserve">דניאל י, כא. </w:t>
      </w:r>
    </w:p>
  </w:endnote>
  <w:endnote w:id="15">
    <w:p w:rsidR="00187D02" w:rsidRDefault="00187D02" w:rsidP="00187D02">
      <w:pPr>
        <w:pStyle w:val="a4"/>
        <w:rPr>
          <w:rFonts w:hint="cs"/>
          <w:rtl/>
        </w:rPr>
      </w:pPr>
      <w:r>
        <w:rPr>
          <w:rtl/>
        </w:rPr>
        <w:tab/>
      </w:r>
      <w:r w:rsidRPr="00944A81">
        <w:rPr>
          <w:rtl/>
        </w:rPr>
        <w:endnoteRef/>
      </w:r>
      <w:r>
        <w:rPr>
          <w:rtl/>
        </w:rPr>
        <w:t>.</w:t>
      </w:r>
      <w:r>
        <w:rPr>
          <w:rtl/>
        </w:rPr>
        <w:tab/>
      </w:r>
      <w:r w:rsidRPr="00B56F3B">
        <w:rPr>
          <w:rtl/>
        </w:rPr>
        <w:t xml:space="preserve">ראה </w:t>
      </w:r>
      <w:r>
        <w:rPr>
          <w:rFonts w:hint="cs"/>
          <w:rtl/>
        </w:rPr>
        <w:t>סוד הוי' ליראיו עמ' נ.</w:t>
      </w:r>
    </w:p>
  </w:endnote>
  <w:endnote w:id="16">
    <w:p w:rsidR="00187D02" w:rsidRDefault="00187D02" w:rsidP="00187D02">
      <w:pPr>
        <w:pStyle w:val="a4"/>
        <w:rPr>
          <w:rFonts w:hint="cs"/>
        </w:rPr>
      </w:pPr>
      <w:r>
        <w:rPr>
          <w:rtl/>
        </w:rPr>
        <w:tab/>
      </w:r>
      <w:r w:rsidRPr="00944A81">
        <w:rPr>
          <w:rtl/>
        </w:rPr>
        <w:endnoteRef/>
      </w:r>
      <w:r>
        <w:rPr>
          <w:rtl/>
        </w:rPr>
        <w:t>.</w:t>
      </w:r>
      <w:r>
        <w:rPr>
          <w:rtl/>
        </w:rPr>
        <w:tab/>
      </w:r>
      <w:r>
        <w:rPr>
          <w:rFonts w:hint="cs"/>
          <w:rtl/>
        </w:rPr>
        <w:t xml:space="preserve">סוד הוי' ליראיו שער א פרק יב. ספר הנפש פי"ג. </w:t>
      </w:r>
    </w:p>
  </w:endnote>
  <w:endnote w:id="17">
    <w:p w:rsidR="00187D02" w:rsidRDefault="00187D02" w:rsidP="00187D02">
      <w:pPr>
        <w:pStyle w:val="a4"/>
        <w:rPr>
          <w:rFonts w:hint="cs"/>
          <w:rtl/>
        </w:rPr>
      </w:pPr>
      <w:r>
        <w:rPr>
          <w:rtl/>
        </w:rPr>
        <w:tab/>
      </w:r>
      <w:r w:rsidRPr="00944A81">
        <w:rPr>
          <w:rtl/>
        </w:rPr>
        <w:endnoteRef/>
      </w:r>
      <w:r>
        <w:rPr>
          <w:rtl/>
        </w:rPr>
        <w:t>.</w:t>
      </w:r>
      <w:r>
        <w:rPr>
          <w:rtl/>
        </w:rPr>
        <w:tab/>
      </w:r>
      <w:r>
        <w:rPr>
          <w:rFonts w:hint="cs"/>
          <w:rtl/>
        </w:rPr>
        <w:t>שבת נה, א.</w:t>
      </w:r>
    </w:p>
  </w:endnote>
  <w:endnote w:id="18">
    <w:p w:rsidR="00187D02" w:rsidRDefault="00187D02" w:rsidP="00187D02">
      <w:pPr>
        <w:pStyle w:val="a4"/>
        <w:rPr>
          <w:rFonts w:hint="cs"/>
        </w:rPr>
      </w:pPr>
      <w:r>
        <w:rPr>
          <w:rtl/>
        </w:rPr>
        <w:tab/>
      </w:r>
      <w:r w:rsidRPr="00944A81">
        <w:rPr>
          <w:rtl/>
        </w:rPr>
        <w:endnoteRef/>
      </w:r>
      <w:r>
        <w:rPr>
          <w:rtl/>
        </w:rPr>
        <w:t>.</w:t>
      </w:r>
      <w:r>
        <w:rPr>
          <w:rtl/>
        </w:rPr>
        <w:tab/>
      </w:r>
      <w:r>
        <w:rPr>
          <w:rFonts w:hint="cs"/>
          <w:rtl/>
        </w:rPr>
        <w:t>נוסח קיום שטר הכתובה.</w:t>
      </w:r>
    </w:p>
  </w:endnote>
  <w:endnote w:id="19">
    <w:p w:rsidR="00187D02" w:rsidRDefault="00187D02" w:rsidP="00187D02">
      <w:pPr>
        <w:pStyle w:val="a4"/>
        <w:rPr>
          <w:rFonts w:hint="cs"/>
          <w:rtl/>
        </w:rPr>
      </w:pPr>
      <w:r>
        <w:rPr>
          <w:rtl/>
        </w:rPr>
        <w:tab/>
      </w:r>
      <w:r w:rsidRPr="00944A81">
        <w:rPr>
          <w:rtl/>
        </w:rPr>
        <w:endnoteRef/>
      </w:r>
      <w:r>
        <w:rPr>
          <w:rtl/>
        </w:rPr>
        <w:t>.</w:t>
      </w:r>
      <w:r>
        <w:rPr>
          <w:rtl/>
        </w:rPr>
        <w:tab/>
      </w:r>
      <w:r>
        <w:rPr>
          <w:rFonts w:hint="cs"/>
          <w:rtl/>
        </w:rPr>
        <w:t>נוסח ברכת "אמת ויציב".</w:t>
      </w:r>
    </w:p>
  </w:endnote>
  <w:endnote w:id="20">
    <w:p w:rsidR="00187D02" w:rsidRDefault="00187D02" w:rsidP="00187D02">
      <w:pPr>
        <w:pStyle w:val="a4"/>
        <w:rPr>
          <w:rFonts w:hint="cs"/>
          <w:rtl/>
        </w:rPr>
      </w:pPr>
      <w:r>
        <w:rPr>
          <w:rtl/>
        </w:rPr>
        <w:tab/>
      </w:r>
      <w:r w:rsidRPr="00944A81">
        <w:rPr>
          <w:rtl/>
        </w:rPr>
        <w:endnoteRef/>
      </w:r>
      <w:r>
        <w:rPr>
          <w:rtl/>
        </w:rPr>
        <w:t>.</w:t>
      </w:r>
      <w:r>
        <w:rPr>
          <w:rtl/>
        </w:rPr>
        <w:tab/>
      </w:r>
      <w:r>
        <w:rPr>
          <w:rFonts w:hint="cs"/>
          <w:rtl/>
        </w:rPr>
        <w:t>נדה כה, ב; לא, א.</w:t>
      </w:r>
    </w:p>
  </w:endnote>
  <w:endnote w:id="21">
    <w:p w:rsidR="00187D02" w:rsidRDefault="00187D02" w:rsidP="00187D02">
      <w:pPr>
        <w:pStyle w:val="a4"/>
        <w:rPr>
          <w:rFonts w:hint="cs"/>
          <w:rtl/>
        </w:rPr>
      </w:pPr>
      <w:r>
        <w:rPr>
          <w:rtl/>
        </w:rPr>
        <w:tab/>
      </w:r>
      <w:r w:rsidRPr="00944A81">
        <w:rPr>
          <w:rtl/>
        </w:rPr>
        <w:endnoteRef/>
      </w:r>
      <w:r>
        <w:rPr>
          <w:rtl/>
        </w:rPr>
        <w:t>.</w:t>
      </w:r>
      <w:r>
        <w:rPr>
          <w:rtl/>
        </w:rPr>
        <w:tab/>
      </w:r>
      <w:r>
        <w:rPr>
          <w:rFonts w:hint="cs"/>
          <w:rtl/>
        </w:rPr>
        <w:t>ראה בארוכה בשכינה ביניהם פ"ב (עמ' קז והלאה).</w:t>
      </w:r>
    </w:p>
  </w:endnote>
  <w:endnote w:id="22">
    <w:p w:rsidR="00187D02" w:rsidRDefault="00187D02" w:rsidP="00187D02">
      <w:pPr>
        <w:pStyle w:val="a4"/>
        <w:rPr>
          <w:rFonts w:hint="cs"/>
          <w:rtl/>
        </w:rPr>
      </w:pPr>
      <w:r>
        <w:rPr>
          <w:rtl/>
        </w:rPr>
        <w:tab/>
      </w:r>
      <w:r w:rsidRPr="00944A81">
        <w:rPr>
          <w:rtl/>
        </w:rPr>
        <w:endnoteRef/>
      </w:r>
      <w:r>
        <w:rPr>
          <w:rtl/>
        </w:rPr>
        <w:t>.</w:t>
      </w:r>
      <w:r>
        <w:rPr>
          <w:rtl/>
        </w:rPr>
        <w:tab/>
      </w:r>
      <w:r>
        <w:rPr>
          <w:rFonts w:hint="cs"/>
          <w:rtl/>
        </w:rPr>
        <w:t>וראה גם בתורה הקודמת.</w:t>
      </w:r>
    </w:p>
  </w:endnote>
  <w:endnote w:id="23">
    <w:p w:rsidR="00187D02" w:rsidRDefault="00187D02" w:rsidP="00187D02">
      <w:pPr>
        <w:pStyle w:val="a4"/>
        <w:rPr>
          <w:rFonts w:hint="cs"/>
        </w:rPr>
      </w:pPr>
      <w:r>
        <w:rPr>
          <w:rtl/>
        </w:rPr>
        <w:tab/>
      </w:r>
      <w:r w:rsidRPr="00944A81">
        <w:rPr>
          <w:rtl/>
        </w:rPr>
        <w:endnoteRef/>
      </w:r>
      <w:r>
        <w:rPr>
          <w:rtl/>
        </w:rPr>
        <w:t>.</w:t>
      </w:r>
      <w:r>
        <w:rPr>
          <w:rtl/>
        </w:rPr>
        <w:tab/>
        <w:t>ראה ל</w:t>
      </w:r>
      <w:r>
        <w:rPr>
          <w:rFonts w:hint="cs"/>
          <w:rtl/>
        </w:rPr>
        <w:t>קוטי תורה</w:t>
      </w:r>
      <w:r>
        <w:rPr>
          <w:rtl/>
        </w:rPr>
        <w:t xml:space="preserve"> וס</w:t>
      </w:r>
      <w:r>
        <w:rPr>
          <w:rFonts w:hint="cs"/>
          <w:rtl/>
        </w:rPr>
        <w:t>פר</w:t>
      </w:r>
      <w:r>
        <w:rPr>
          <w:rtl/>
        </w:rPr>
        <w:t xml:space="preserve"> הלקוטים סוף ש</w:t>
      </w:r>
      <w:r>
        <w:rPr>
          <w:rFonts w:hint="cs"/>
          <w:rtl/>
        </w:rPr>
        <w:t>מואל-א</w:t>
      </w:r>
      <w:r>
        <w:rPr>
          <w:rtl/>
        </w:rPr>
        <w:t>.</w:t>
      </w:r>
    </w:p>
  </w:endnote>
  <w:endnote w:id="24">
    <w:p w:rsidR="00187D02" w:rsidRDefault="00187D02" w:rsidP="00187D02">
      <w:pPr>
        <w:pStyle w:val="a4"/>
        <w:rPr>
          <w:rFonts w:hint="cs"/>
        </w:rPr>
      </w:pPr>
      <w:r>
        <w:rPr>
          <w:rtl/>
        </w:rPr>
        <w:tab/>
      </w:r>
      <w:r w:rsidRPr="00944A81">
        <w:rPr>
          <w:rtl/>
        </w:rPr>
        <w:endnoteRef/>
      </w:r>
      <w:r>
        <w:rPr>
          <w:rtl/>
        </w:rPr>
        <w:t>.</w:t>
      </w:r>
      <w:r>
        <w:rPr>
          <w:rtl/>
        </w:rPr>
        <w:tab/>
      </w:r>
      <w:r>
        <w:rPr>
          <w:rFonts w:hint="cs"/>
          <w:rtl/>
        </w:rPr>
        <w:t>שמואל-א כ, מא. (וראה במקורות שבהערה הקודמת ובספר הלקוטים זכריה פ"ד, ובריבוי מקומות בדא"ח כתיאור לעלית המלכות להיות "אשת חיל עטרת בעלה").</w:t>
      </w:r>
    </w:p>
  </w:endnote>
  <w:endnote w:id="25">
    <w:p w:rsidR="00187D02" w:rsidRDefault="00187D02" w:rsidP="00187D02">
      <w:pPr>
        <w:pStyle w:val="a4"/>
        <w:rPr>
          <w:rFonts w:hint="cs"/>
        </w:rPr>
      </w:pPr>
      <w:r>
        <w:rPr>
          <w:rtl/>
        </w:rPr>
        <w:tab/>
      </w:r>
      <w:r w:rsidRPr="00944A81">
        <w:rPr>
          <w:rtl/>
        </w:rPr>
        <w:endnoteRef/>
      </w:r>
      <w:r>
        <w:rPr>
          <w:rtl/>
        </w:rPr>
        <w:t>.</w:t>
      </w:r>
      <w:r>
        <w:rPr>
          <w:rtl/>
        </w:rPr>
        <w:tab/>
      </w:r>
      <w:r>
        <w:rPr>
          <w:rFonts w:hint="cs"/>
          <w:rtl/>
        </w:rPr>
        <w:t>אבות פ"א מי"ז.</w:t>
      </w:r>
    </w:p>
  </w:endnote>
  <w:endnote w:id="26">
    <w:p w:rsidR="00187D02" w:rsidRDefault="00187D02" w:rsidP="00187D02">
      <w:pPr>
        <w:pStyle w:val="a4"/>
        <w:rPr>
          <w:rFonts w:hint="cs"/>
          <w:rtl/>
        </w:rPr>
      </w:pPr>
      <w:r>
        <w:rPr>
          <w:rtl/>
        </w:rPr>
        <w:tab/>
      </w:r>
      <w:r w:rsidRPr="00944A81">
        <w:rPr>
          <w:rtl/>
        </w:rPr>
        <w:endnoteRef/>
      </w:r>
      <w:r>
        <w:rPr>
          <w:rtl/>
        </w:rPr>
        <w:t>.</w:t>
      </w:r>
      <w:r>
        <w:rPr>
          <w:rtl/>
        </w:rPr>
        <w:tab/>
      </w:r>
      <w:r>
        <w:rPr>
          <w:rFonts w:hint="cs"/>
          <w:rtl/>
        </w:rPr>
        <w:t>נדה לא, ב; עירובין ק, ב (וראה גם מעין גנים ח"ב עמ' כ הערה כז ובעתה אחישנה עמ' שז הערה עה)</w:t>
      </w:r>
    </w:p>
  </w:endnote>
  <w:endnote w:id="27">
    <w:p w:rsidR="00187D02" w:rsidRDefault="00187D02" w:rsidP="00187D02">
      <w:pPr>
        <w:pStyle w:val="a4"/>
        <w:rPr>
          <w:rFonts w:hint="cs"/>
          <w:rtl/>
        </w:rPr>
      </w:pPr>
      <w:r>
        <w:rPr>
          <w:rtl/>
        </w:rPr>
        <w:tab/>
      </w:r>
      <w:r w:rsidRPr="00944A81">
        <w:rPr>
          <w:rtl/>
        </w:rPr>
        <w:endnoteRef/>
      </w:r>
      <w:r>
        <w:rPr>
          <w:rtl/>
        </w:rPr>
        <w:t>.</w:t>
      </w:r>
      <w:r>
        <w:rPr>
          <w:rtl/>
        </w:rPr>
        <w:tab/>
      </w:r>
      <w:r>
        <w:rPr>
          <w:rFonts w:hint="cs"/>
          <w:rtl/>
        </w:rPr>
        <w:t>פסחים עו, א וש"נ (וראה ברקאנטי ריש פרשת תזריע).</w:t>
      </w:r>
    </w:p>
  </w:endnote>
  <w:endnote w:id="28">
    <w:p w:rsidR="00187D02" w:rsidRDefault="00187D02" w:rsidP="00187D02">
      <w:pPr>
        <w:pStyle w:val="a4"/>
        <w:rPr>
          <w:rFonts w:hint="cs"/>
          <w:rtl/>
        </w:rPr>
      </w:pPr>
      <w:r>
        <w:rPr>
          <w:rtl/>
        </w:rPr>
        <w:tab/>
      </w:r>
      <w:r w:rsidRPr="00944A81">
        <w:rPr>
          <w:rtl/>
        </w:rPr>
        <w:endnoteRef/>
      </w:r>
      <w:r>
        <w:rPr>
          <w:rtl/>
        </w:rPr>
        <w:t>.</w:t>
      </w:r>
      <w:r>
        <w:rPr>
          <w:rtl/>
        </w:rPr>
        <w:tab/>
      </w:r>
      <w:r>
        <w:rPr>
          <w:rFonts w:hint="cs"/>
          <w:rtl/>
        </w:rPr>
        <w:t>משלי יב, ד.</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879" w:rsidRDefault="00531879" w:rsidP="00187D02">
      <w:pPr>
        <w:spacing w:after="0" w:line="240" w:lineRule="auto"/>
      </w:pPr>
      <w:r>
        <w:separator/>
      </w:r>
    </w:p>
  </w:footnote>
  <w:footnote w:type="continuationSeparator" w:id="0">
    <w:p w:rsidR="00531879" w:rsidRDefault="00531879" w:rsidP="00187D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53"/>
    <w:rsid w:val="00061E65"/>
    <w:rsid w:val="00187D02"/>
    <w:rsid w:val="001A2453"/>
    <w:rsid w:val="00531879"/>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87D02"/>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87D0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87D02"/>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87D02"/>
    <w:rPr>
      <w:noProof/>
      <w:position w:val="-4"/>
      <w:szCs w:val="26"/>
      <w:vertAlign w:val="superscript"/>
    </w:rPr>
  </w:style>
  <w:style w:type="paragraph" w:styleId="a4">
    <w:name w:val="endnote text"/>
    <w:aliases w:val="Endnote Text"/>
    <w:basedOn w:val="a"/>
    <w:link w:val="a5"/>
    <w:semiHidden/>
    <w:rsid w:val="00187D0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187D02"/>
    <w:rPr>
      <w:rFonts w:ascii="Times New Roman" w:eastAsia="Times New Roman" w:hAnsi="Times New Roman" w:cs="oprFrank"/>
      <w:sz w:val="20"/>
      <w:szCs w:val="23"/>
      <w:lang w:eastAsia="he-IL"/>
    </w:rPr>
  </w:style>
  <w:style w:type="paragraph" w:customStyle="1" w:styleId="a6">
    <w:name w:val="פתיח תו"/>
    <w:basedOn w:val="a"/>
    <w:link w:val="a7"/>
    <w:rsid w:val="00187D0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187D02"/>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87D02"/>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87D02"/>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87D02"/>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87D02"/>
    <w:rPr>
      <w:noProof/>
      <w:position w:val="-4"/>
      <w:szCs w:val="26"/>
      <w:vertAlign w:val="superscript"/>
    </w:rPr>
  </w:style>
  <w:style w:type="paragraph" w:styleId="a4">
    <w:name w:val="endnote text"/>
    <w:aliases w:val="Endnote Text"/>
    <w:basedOn w:val="a"/>
    <w:link w:val="a5"/>
    <w:semiHidden/>
    <w:rsid w:val="00187D02"/>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187D02"/>
    <w:rPr>
      <w:rFonts w:ascii="Times New Roman" w:eastAsia="Times New Roman" w:hAnsi="Times New Roman" w:cs="oprFrank"/>
      <w:sz w:val="20"/>
      <w:szCs w:val="23"/>
      <w:lang w:eastAsia="he-IL"/>
    </w:rPr>
  </w:style>
  <w:style w:type="paragraph" w:customStyle="1" w:styleId="a6">
    <w:name w:val="פתיח תו"/>
    <w:basedOn w:val="a"/>
    <w:link w:val="a7"/>
    <w:rsid w:val="00187D02"/>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187D02"/>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2104</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2017-08-16T09:41:00Z</dcterms:created>
  <dcterms:modified xsi:type="dcterms:W3CDTF">2017-08-16T09:41:00Z</dcterms:modified>
</cp:coreProperties>
</file>