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71" w:rsidRDefault="00C80B71" w:rsidP="00C80B71">
      <w:pPr>
        <w:pStyle w:val="2"/>
        <w:rPr>
          <w:rFonts w:hint="cs"/>
          <w:rtl/>
        </w:rPr>
      </w:pPr>
      <w:r>
        <w:rPr>
          <w:rFonts w:hint="cs"/>
          <w:rtl/>
        </w:rPr>
        <w:t>שלשה שלבים ביחוד</w:t>
      </w:r>
    </w:p>
    <w:p w:rsidR="00C80B71" w:rsidRPr="002E2CC9" w:rsidRDefault="00C80B71" w:rsidP="00C80B71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2E2CC9">
        <w:rPr>
          <w:rStyle w:val="a8"/>
          <w:rFonts w:hint="cs"/>
          <w:rtl/>
        </w:rPr>
        <w:t>ש</w:t>
      </w:r>
    </w:p>
    <w:p w:rsidR="00C80B71" w:rsidRPr="00F23CAB" w:rsidRDefault="00C80B71" w:rsidP="00C80B71">
      <w:pPr>
        <w:rPr>
          <w:rFonts w:hint="cs"/>
          <w:rtl/>
        </w:rPr>
      </w:pPr>
      <w:r>
        <w:rPr>
          <w:rFonts w:hint="cs"/>
          <w:rtl/>
        </w:rPr>
        <w:t>לש המתנות אותן העניק ה' לעם ישראל במדבר, מן ענני כבוד ובאר, מכוונות כנגד שלש חובות האי</w:t>
      </w:r>
      <w:r w:rsidRPr="00F23CAB">
        <w:rPr>
          <w:rFonts w:hint="cs"/>
          <w:rtl/>
        </w:rPr>
        <w:t>ש לאשתו</w:t>
      </w:r>
      <w:r w:rsidRPr="008636EE">
        <w:rPr>
          <w:rStyle w:val="a3"/>
          <w:rtl/>
        </w:rPr>
        <w:endnoteReference w:id="1"/>
      </w:r>
      <w:r w:rsidRPr="00F23CAB">
        <w:rPr>
          <w:rFonts w:hint="cs"/>
          <w:rtl/>
        </w:rPr>
        <w:t>, "שארה כסותה ועֹנתה"</w:t>
      </w:r>
      <w:r w:rsidRPr="008636EE">
        <w:rPr>
          <w:rStyle w:val="a3"/>
          <w:rtl/>
        </w:rPr>
        <w:endnoteReference w:id="2"/>
      </w:r>
      <w:r w:rsidRPr="00F23CAB">
        <w:rPr>
          <w:rFonts w:hint="cs"/>
          <w:rtl/>
        </w:rPr>
        <w:t>. והנה, הרמב"ן כותב</w:t>
      </w:r>
      <w:r w:rsidRPr="008636EE">
        <w:rPr>
          <w:rStyle w:val="a3"/>
          <w:rtl/>
        </w:rPr>
        <w:endnoteReference w:id="3"/>
      </w:r>
      <w:r w:rsidRPr="00F23CAB">
        <w:rPr>
          <w:rFonts w:hint="cs"/>
          <w:rtl/>
        </w:rPr>
        <w:t>: "</w:t>
      </w:r>
      <w:r w:rsidRPr="00F23CAB">
        <w:rPr>
          <w:rtl/>
        </w:rPr>
        <w:t xml:space="preserve">כי דרך הכתוב בכל מקום להזכיר המשכב בלשון נקי ובקצור, ולכן אמר באלו ברמז </w:t>
      </w:r>
      <w:r w:rsidRPr="00F23CAB">
        <w:rPr>
          <w:rFonts w:hint="cs"/>
          <w:rtl/>
        </w:rPr>
        <w:t>'</w:t>
      </w:r>
      <w:r w:rsidRPr="00F23CAB">
        <w:rPr>
          <w:rtl/>
        </w:rPr>
        <w:t>שארה כסותה ועונתה</w:t>
      </w:r>
      <w:r w:rsidRPr="00F23CAB">
        <w:rPr>
          <w:rFonts w:hint="cs"/>
          <w:rtl/>
        </w:rPr>
        <w:t>'</w:t>
      </w:r>
      <w:r w:rsidRPr="00F23CAB">
        <w:rPr>
          <w:rtl/>
        </w:rPr>
        <w:t xml:space="preserve">, על שלשת </w:t>
      </w:r>
      <w:proofErr w:type="spellStart"/>
      <w:r w:rsidRPr="00F23CAB">
        <w:rPr>
          <w:rtl/>
        </w:rPr>
        <w:t>הענינים</w:t>
      </w:r>
      <w:proofErr w:type="spellEnd"/>
      <w:r w:rsidRPr="00F23CAB">
        <w:rPr>
          <w:rtl/>
        </w:rPr>
        <w:t xml:space="preserve"> אשר לאדם עם אשתו</w:t>
      </w:r>
      <w:r w:rsidRPr="00F23CAB">
        <w:rPr>
          <w:rFonts w:hint="cs"/>
          <w:rtl/>
        </w:rPr>
        <w:t xml:space="preserve"> בחיבורן" ומפרש "</w:t>
      </w:r>
      <w:r w:rsidRPr="00F23CAB">
        <w:rPr>
          <w:rtl/>
        </w:rPr>
        <w:t xml:space="preserve">הנה </w:t>
      </w:r>
      <w:r w:rsidRPr="00F23CAB">
        <w:rPr>
          <w:rFonts w:hint="cs"/>
          <w:rtl/>
        </w:rPr>
        <w:t>'</w:t>
      </w:r>
      <w:r w:rsidRPr="00F23CAB">
        <w:rPr>
          <w:rtl/>
        </w:rPr>
        <w:t>שארה</w:t>
      </w:r>
      <w:r w:rsidRPr="00F23CAB">
        <w:rPr>
          <w:rFonts w:hint="cs"/>
          <w:rtl/>
        </w:rPr>
        <w:t>'</w:t>
      </w:r>
      <w:r w:rsidRPr="00F23CAB">
        <w:rPr>
          <w:rtl/>
        </w:rPr>
        <w:t xml:space="preserve"> קרוב בשרה</w:t>
      </w:r>
      <w:r w:rsidRPr="00F23CAB">
        <w:rPr>
          <w:rFonts w:hint="cs"/>
          <w:rtl/>
        </w:rPr>
        <w:t>,</w:t>
      </w:r>
      <w:r w:rsidRPr="00F23CAB">
        <w:rPr>
          <w:rtl/>
        </w:rPr>
        <w:t xml:space="preserve"> ו</w:t>
      </w:r>
      <w:r w:rsidRPr="00F23CAB">
        <w:rPr>
          <w:rFonts w:hint="cs"/>
          <w:rtl/>
        </w:rPr>
        <w:t>'</w:t>
      </w:r>
      <w:r w:rsidRPr="00F23CAB">
        <w:rPr>
          <w:rtl/>
        </w:rPr>
        <w:t>כסותה</w:t>
      </w:r>
      <w:r w:rsidRPr="00F23CAB">
        <w:rPr>
          <w:rFonts w:hint="cs"/>
          <w:rtl/>
        </w:rPr>
        <w:t>'</w:t>
      </w:r>
      <w:r w:rsidRPr="00F23CAB">
        <w:rPr>
          <w:rtl/>
        </w:rPr>
        <w:t xml:space="preserve"> כסות </w:t>
      </w:r>
      <w:proofErr w:type="spellStart"/>
      <w:r w:rsidRPr="00F23CAB">
        <w:rPr>
          <w:rtl/>
        </w:rPr>
        <w:t>מטתה</w:t>
      </w:r>
      <w:proofErr w:type="spellEnd"/>
      <w:r w:rsidRPr="00F23CAB">
        <w:rPr>
          <w:rFonts w:hint="cs"/>
          <w:rtl/>
        </w:rPr>
        <w:t>...</w:t>
      </w:r>
      <w:r w:rsidRPr="00F23CAB">
        <w:rPr>
          <w:rtl/>
        </w:rPr>
        <w:t xml:space="preserve"> </w:t>
      </w:r>
      <w:r w:rsidRPr="00F23CAB">
        <w:rPr>
          <w:rFonts w:hint="cs"/>
          <w:rtl/>
        </w:rPr>
        <w:t>'</w:t>
      </w:r>
      <w:r w:rsidRPr="00F23CAB">
        <w:rPr>
          <w:rtl/>
        </w:rPr>
        <w:t>ועונתה</w:t>
      </w:r>
      <w:r w:rsidRPr="00F23CAB">
        <w:rPr>
          <w:rFonts w:hint="cs"/>
          <w:rtl/>
        </w:rPr>
        <w:t>'</w:t>
      </w:r>
      <w:r w:rsidRPr="00F23CAB">
        <w:rPr>
          <w:rtl/>
        </w:rPr>
        <w:t xml:space="preserve"> הוא עונה שיבא אליה לעת דודים</w:t>
      </w:r>
      <w:r w:rsidRPr="00F23CAB">
        <w:rPr>
          <w:rFonts w:hint="cs"/>
          <w:rtl/>
        </w:rPr>
        <w:t xml:space="preserve">". על דרך זה, אפשר להתבונן בפרטות כיצד כל שלש המתנות מופיעות בתוך העונה עצמה, ניתנות מהאיש לאשתו בעת </w:t>
      </w:r>
      <w:proofErr w:type="spellStart"/>
      <w:r w:rsidRPr="00F23CAB">
        <w:rPr>
          <w:rFonts w:hint="cs"/>
          <w:rtl/>
        </w:rPr>
        <w:t>היחוד</w:t>
      </w:r>
      <w:proofErr w:type="spellEnd"/>
      <w:r w:rsidRPr="00F23CAB">
        <w:rPr>
          <w:rFonts w:hint="cs"/>
          <w:rtl/>
        </w:rPr>
        <w:t xml:space="preserve"> הקדוש: </w:t>
      </w:r>
    </w:p>
    <w:p w:rsidR="00C80B71" w:rsidRDefault="00C80B71" w:rsidP="00C80B71">
      <w:pPr>
        <w:rPr>
          <w:rFonts w:hint="cs"/>
          <w:rtl/>
        </w:rPr>
      </w:pPr>
      <w:r>
        <w:rPr>
          <w:rFonts w:hint="cs"/>
          <w:rtl/>
        </w:rPr>
        <w:t>אחד הדימויים בתורה לזיווג הוא אכילה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>, כאשר כבר מראשית הביאה-</w:t>
      </w:r>
      <w:r w:rsidRPr="000E0909">
        <w:rPr>
          <w:rFonts w:hint="cs"/>
          <w:b/>
          <w:bCs/>
          <w:sz w:val="28"/>
          <w:szCs w:val="28"/>
          <w:rtl/>
        </w:rPr>
        <w:t>בעילה</w:t>
      </w:r>
      <w:r>
        <w:rPr>
          <w:rFonts w:hint="cs"/>
          <w:rtl/>
        </w:rPr>
        <w:t xml:space="preserve"> (כניסת העטרה בלשון חז"ל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 xml:space="preserve">) מתקיימת </w:t>
      </w:r>
      <w:proofErr w:type="spellStart"/>
      <w:r>
        <w:rPr>
          <w:rFonts w:hint="cs"/>
          <w:rtl/>
        </w:rPr>
        <w:t>חויה</w:t>
      </w:r>
      <w:proofErr w:type="spellEnd"/>
      <w:r>
        <w:rPr>
          <w:rFonts w:hint="cs"/>
          <w:rtl/>
        </w:rPr>
        <w:t xml:space="preserve"> של אכילה-</w:t>
      </w:r>
      <w:r w:rsidRPr="000E0909">
        <w:rPr>
          <w:rFonts w:hint="cs"/>
          <w:b/>
          <w:bCs/>
          <w:sz w:val="28"/>
          <w:szCs w:val="28"/>
          <w:rtl/>
        </w:rPr>
        <w:t>בליעה</w:t>
      </w:r>
      <w:r>
        <w:rPr>
          <w:rFonts w:hint="cs"/>
          <w:rtl/>
        </w:rPr>
        <w:t xml:space="preserve">. מצוות "שארה" היינו דאגת האיש לצרכי אשתו, כולל החובה להשביע את רעבונה </w:t>
      </w:r>
      <w:proofErr w:type="spellStart"/>
      <w:r>
        <w:rPr>
          <w:rFonts w:hint="cs"/>
          <w:rtl/>
        </w:rPr>
        <w:t>ליחוד</w:t>
      </w:r>
      <w:proofErr w:type="spellEnd"/>
      <w:r>
        <w:rPr>
          <w:rFonts w:hint="cs"/>
          <w:rtl/>
        </w:rPr>
        <w:t xml:space="preserve">, המתואר בלשון חז"ל כ"צערא </w:t>
      </w:r>
      <w:proofErr w:type="spellStart"/>
      <w:r>
        <w:rPr>
          <w:rFonts w:hint="cs"/>
          <w:rtl/>
        </w:rPr>
        <w:t>דגופא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 xml:space="preserve"> (ויש לומר כי הרעבון ללחם, אותו שאלו בני ישראל "כהוגן"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 xml:space="preserve">, הוא הצורך הטבעי והראוי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, ואילו הרעבון לבשר, אותו שאלו בני ישראל "שלא כהוגן", היינו הגברת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באופן לא טבעי, כפי שהנביא יחזקאל מתאר 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זנות </w:t>
      </w:r>
      <w:proofErr w:type="spellStart"/>
      <w:r>
        <w:rPr>
          <w:rFonts w:hint="cs"/>
          <w:rtl/>
        </w:rPr>
        <w:t>כתאוה</w:t>
      </w:r>
      <w:proofErr w:type="spellEnd"/>
      <w:r>
        <w:rPr>
          <w:rFonts w:hint="cs"/>
          <w:rtl/>
        </w:rPr>
        <w:t xml:space="preserve"> לבשר דווקא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 xml:space="preserve">). </w:t>
      </w:r>
    </w:p>
    <w:p w:rsidR="00C80B71" w:rsidRDefault="00C80B71" w:rsidP="00C80B71">
      <w:pPr>
        <w:rPr>
          <w:rFonts w:hint="cs"/>
          <w:rtl/>
        </w:rPr>
      </w:pPr>
      <w:r>
        <w:rPr>
          <w:rFonts w:hint="cs"/>
          <w:rtl/>
        </w:rPr>
        <w:t xml:space="preserve">במצב השלם, בכל יחוד יש </w:t>
      </w:r>
      <w:proofErr w:type="spellStart"/>
      <w:r>
        <w:rPr>
          <w:rFonts w:hint="cs"/>
          <w:rtl/>
        </w:rPr>
        <w:t>חויה</w:t>
      </w:r>
      <w:proofErr w:type="spellEnd"/>
      <w:r>
        <w:rPr>
          <w:rFonts w:hint="cs"/>
          <w:rtl/>
        </w:rPr>
        <w:t xml:space="preserve"> חדשה, על דרך דרשת חז"ל ביחס ללימוד התורה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 xml:space="preserve">: "מאי </w:t>
      </w:r>
      <w:proofErr w:type="spellStart"/>
      <w:r>
        <w:rPr>
          <w:rFonts w:hint="cs"/>
          <w:rtl/>
        </w:rPr>
        <w:t>דכתיב</w:t>
      </w:r>
      <w:proofErr w:type="spellEnd"/>
      <w:r>
        <w:rPr>
          <w:rFonts w:hint="cs"/>
          <w:rtl/>
        </w:rPr>
        <w:t xml:space="preserve"> 'אילת אהבים ויעלת חן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''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 xml:space="preserve">? למה נמשלו דברי תורה לאילת? לומר לך, מה אילה רחמה צר וחביבה על בועלה כל שעה ושעה כשעה ראשונה אף דברי תורה </w:t>
      </w:r>
      <w:proofErr w:type="spellStart"/>
      <w:r>
        <w:rPr>
          <w:rFonts w:hint="cs"/>
          <w:rtl/>
        </w:rPr>
        <w:t>חביבין</w:t>
      </w:r>
      <w:proofErr w:type="spellEnd"/>
      <w:r>
        <w:rPr>
          <w:rFonts w:hint="cs"/>
          <w:rtl/>
        </w:rPr>
        <w:t xml:space="preserve"> על לומדיהן כל שעה ושעה כשעה ראשונה... 'דדיה </w:t>
      </w:r>
      <w:proofErr w:type="spellStart"/>
      <w:r>
        <w:rPr>
          <w:rFonts w:hint="cs"/>
          <w:rtl/>
        </w:rPr>
        <w:t>ירווך</w:t>
      </w:r>
      <w:proofErr w:type="spellEnd"/>
      <w:r>
        <w:rPr>
          <w:rFonts w:hint="cs"/>
          <w:rtl/>
        </w:rPr>
        <w:t xml:space="preserve"> בכל עת', למה נמשלו דברי תורה כדד? מה דד זה כל זמן שהתינוק ממשמש בו מוצא חלב אף דברי תורה כל זמן שאדם הוגה מוצא בהן טעם"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 xml:space="preserve">. בשל החידוש מתחיל כל יחוד בהפתעה מצד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(שכביכול חוזרת </w:t>
      </w:r>
      <w:r>
        <w:rPr>
          <w:rFonts w:hint="cs"/>
          <w:rtl/>
        </w:rPr>
        <w:lastRenderedPageBreak/>
        <w:t>לבתוליה בכל פעם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>), בבחינת "מן הוא כי לא ידעו מה הוא"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 (גם תיאורו של המן "</w:t>
      </w:r>
      <w:r w:rsidRPr="00D91656">
        <w:rPr>
          <w:rStyle w:val="a4"/>
          <w:rFonts w:hint="cs"/>
          <w:rtl/>
        </w:rPr>
        <w:t>כזרע גד לבן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 xml:space="preserve"> רומז ל</w:t>
      </w:r>
      <w:r w:rsidRPr="00D91656">
        <w:rPr>
          <w:rStyle w:val="a4"/>
          <w:rFonts w:hint="cs"/>
          <w:rtl/>
        </w:rPr>
        <w:t>זרע</w:t>
      </w:r>
      <w:r>
        <w:rPr>
          <w:rFonts w:hint="cs"/>
          <w:rtl/>
        </w:rPr>
        <w:t xml:space="preserve"> הקדש, ה"טפה </w:t>
      </w:r>
      <w:r w:rsidRPr="00D91656">
        <w:rPr>
          <w:rStyle w:val="a4"/>
          <w:rFonts w:hint="cs"/>
          <w:rtl/>
        </w:rPr>
        <w:t>לבנה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5"/>
      </w:r>
      <w:r>
        <w:rPr>
          <w:rFonts w:hint="cs"/>
          <w:rtl/>
        </w:rPr>
        <w:t>, הנמשכת מה</w:t>
      </w:r>
      <w:r w:rsidRPr="00D91656">
        <w:rPr>
          <w:rStyle w:val="a4"/>
          <w:rFonts w:hint="cs"/>
          <w:rtl/>
        </w:rPr>
        <w:t>גיד</w:t>
      </w:r>
      <w:r>
        <w:rPr>
          <w:rFonts w:hint="cs"/>
          <w:rtl/>
        </w:rPr>
        <w:t>, וכשם שהמן משתנה לכל טעם לפי בחירת הטועם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 xml:space="preserve">, כך הזרע הניתן ברחמה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הוא מופשט ונתון ל'עיצוב' ו'הטעמה' שלה בתשעת ירחי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>).</w:t>
      </w:r>
    </w:p>
    <w:p w:rsidR="00C80B71" w:rsidRDefault="00C80B71" w:rsidP="00C80B71">
      <w:pPr>
        <w:rPr>
          <w:rFonts w:hint="cs"/>
          <w:rtl/>
        </w:rPr>
      </w:pPr>
      <w:r>
        <w:rPr>
          <w:rFonts w:hint="cs"/>
          <w:rtl/>
        </w:rPr>
        <w:t>כסות ענני הכבוד ביחוד עצמו היא שהית האיש על הבטן עד שתזריע אשתו</w:t>
      </w:r>
      <w:r w:rsidRPr="008636EE">
        <w:rPr>
          <w:rStyle w:val="a3"/>
          <w:rtl/>
        </w:rPr>
        <w:endnoteReference w:id="17"/>
      </w:r>
      <w:r>
        <w:rPr>
          <w:rFonts w:hint="cs"/>
          <w:rtl/>
        </w:rPr>
        <w:t>, כאשר האיש מכסה את אשתו בגופו שלו, כהדרכת חז"ל "הוא מלמעלה והיא מלמטה"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 xml:space="preserve">. הדרכה זו באה לכבודה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, שבעלה נדרש 'לרחף' מעליה כענן כבוד המספק לה מנוחה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 ובטחון בכך שהיא 'מכוסה' ומוגנת</w:t>
      </w:r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 xml:space="preserve"> (וכן בטחון בכך </w:t>
      </w:r>
      <w:proofErr w:type="spellStart"/>
      <w:r>
        <w:rPr>
          <w:rFonts w:hint="cs"/>
          <w:rtl/>
        </w:rPr>
        <w:t>שהיחוד</w:t>
      </w:r>
      <w:proofErr w:type="spellEnd"/>
      <w:r>
        <w:rPr>
          <w:rFonts w:hint="cs"/>
          <w:rtl/>
        </w:rPr>
        <w:t xml:space="preserve"> לא נועד מבחינתו רק לסיפוק תאוותו, אלא הוא 'נמצא שם בשבילה' וממתין לה ככל </w:t>
      </w:r>
      <w:proofErr w:type="spellStart"/>
      <w:r>
        <w:rPr>
          <w:rFonts w:hint="cs"/>
          <w:rtl/>
        </w:rPr>
        <w:t>שידרש</w:t>
      </w:r>
      <w:proofErr w:type="spellEnd"/>
      <w:r>
        <w:rPr>
          <w:rFonts w:hint="cs"/>
          <w:rtl/>
        </w:rPr>
        <w:t xml:space="preserve">). כיסוי ועטיפת האיש את אשתו היא </w:t>
      </w:r>
      <w:proofErr w:type="spellStart"/>
      <w:r>
        <w:rPr>
          <w:rFonts w:hint="cs"/>
          <w:rtl/>
        </w:rPr>
        <w:t>אתערותא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דלעילא</w:t>
      </w:r>
      <w:proofErr w:type="spellEnd"/>
      <w:r>
        <w:rPr>
          <w:rFonts w:hint="cs"/>
          <w:rtl/>
        </w:rPr>
        <w:t xml:space="preserve"> באופן של "מקיף", שנועדה לעורר </w:t>
      </w:r>
      <w:proofErr w:type="spellStart"/>
      <w:r>
        <w:rPr>
          <w:rFonts w:hint="cs"/>
          <w:rtl/>
        </w:rPr>
        <w:t>אתערותא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דלתתא</w:t>
      </w:r>
      <w:proofErr w:type="spellEnd"/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>.</w:t>
      </w:r>
    </w:p>
    <w:p w:rsidR="00C80B71" w:rsidRDefault="00C80B71" w:rsidP="00C80B71">
      <w:pPr>
        <w:rPr>
          <w:rFonts w:hint="cs"/>
          <w:rtl/>
        </w:rPr>
      </w:pPr>
      <w:r>
        <w:rPr>
          <w:rFonts w:hint="cs"/>
          <w:rtl/>
        </w:rPr>
        <w:t xml:space="preserve">הזרעת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,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מזרעת תחלה יולדת זכר"</w:t>
      </w:r>
      <w:r w:rsidRPr="008636EE">
        <w:rPr>
          <w:rStyle w:val="a3"/>
          <w:rtl/>
        </w:rPr>
        <w:endnoteReference w:id="22"/>
      </w:r>
      <w:r>
        <w:rPr>
          <w:rFonts w:hint="cs"/>
          <w:rtl/>
        </w:rPr>
        <w:t xml:space="preserve">, היא מתנת הבאר, העלאת </w:t>
      </w:r>
      <w:proofErr w:type="spellStart"/>
      <w:r>
        <w:rPr>
          <w:rFonts w:hint="cs"/>
          <w:rtl/>
        </w:rPr>
        <w:t>מ"נ</w:t>
      </w:r>
      <w:proofErr w:type="spellEnd"/>
      <w:r>
        <w:rPr>
          <w:rFonts w:hint="cs"/>
          <w:rtl/>
        </w:rPr>
        <w:t xml:space="preserve"> מ"בארה של מרים", לאחריה עונה האיש לאשתו ב"גמר ביאה". כפי שהתבאר, ראשית הביאה היא "שאר" המשביע את רעבון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וממלא את הצורך הבסיסי שלה בקשר האישות, אך רגיעה נפשית שלמה</w:t>
      </w:r>
      <w:r w:rsidRPr="008636EE">
        <w:rPr>
          <w:rStyle w:val="a3"/>
          <w:rtl/>
        </w:rPr>
        <w:endnoteReference w:id="23"/>
      </w:r>
      <w:r>
        <w:rPr>
          <w:rFonts w:hint="cs"/>
          <w:rtl/>
        </w:rPr>
        <w:t xml:space="preserve"> תתכן רק ב"גמר ביאה", לאחר שהשתוקקות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באה לידי גילוי ומיצוי ונענתה כדבעי על ידי האיש (ואכן מבואר</w:t>
      </w:r>
      <w:r w:rsidRPr="008636EE">
        <w:rPr>
          <w:rStyle w:val="a3"/>
          <w:rtl/>
        </w:rPr>
        <w:endnoteReference w:id="24"/>
      </w:r>
      <w:r>
        <w:rPr>
          <w:rFonts w:hint="cs"/>
          <w:rtl/>
        </w:rPr>
        <w:t xml:space="preserve"> כי מתפקידי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גם להרגיע את העצבים, וגם בפשטות לאחר גמר הביאה מגיעים לרגיעה של "אבר מת" וניתן לשקוע בשינה רגועה</w:t>
      </w:r>
      <w:r w:rsidRPr="008636EE">
        <w:rPr>
          <w:rStyle w:val="a3"/>
          <w:rtl/>
        </w:rPr>
        <w:endnoteReference w:id="25"/>
      </w:r>
      <w:r>
        <w:rPr>
          <w:rFonts w:hint="cs"/>
          <w:rtl/>
        </w:rPr>
        <w:t>).</w:t>
      </w:r>
    </w:p>
    <w:p w:rsidR="00C80B71" w:rsidRDefault="00C80B71" w:rsidP="00C80B71">
      <w:pPr>
        <w:rPr>
          <w:rFonts w:hint="cs"/>
          <w:rtl/>
        </w:rPr>
      </w:pPr>
      <w:r>
        <w:rPr>
          <w:rFonts w:hint="cs"/>
          <w:rtl/>
        </w:rPr>
        <w:t>[והנה, לפי הסדר כאן מתקיים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מזרעת תחלה", אך לאחר הסתלקות אהרן ומרים חזרו כל המתנות בזכותו של משה רבינו</w:t>
      </w:r>
      <w:r w:rsidRPr="008636EE">
        <w:rPr>
          <w:rStyle w:val="a3"/>
          <w:rtl/>
        </w:rPr>
        <w:endnoteReference w:id="26"/>
      </w:r>
      <w:r>
        <w:rPr>
          <w:rFonts w:hint="cs"/>
          <w:rtl/>
        </w:rPr>
        <w:t xml:space="preserve">, היינו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נכלל </w:t>
      </w:r>
      <w:proofErr w:type="spellStart"/>
      <w:r>
        <w:rPr>
          <w:rFonts w:hint="cs"/>
          <w:rtl/>
        </w:rPr>
        <w:t>באתערותא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דלעילא</w:t>
      </w:r>
      <w:proofErr w:type="spellEnd"/>
      <w:r>
        <w:rPr>
          <w:rFonts w:hint="cs"/>
          <w:rtl/>
        </w:rPr>
        <w:t>, שעם כל מעלתה חסר בה הממד של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מזרעת תחלה יולדת זכר" (ורק לעתיד לבוא תתמזגנה המעלות, כאשר יתקיים "איש ואיש י</w:t>
      </w:r>
      <w:r>
        <w:rPr>
          <w:rFonts w:hint="eastAsia"/>
          <w:rtl/>
        </w:rPr>
        <w:t>ֻ</w:t>
      </w:r>
      <w:r>
        <w:rPr>
          <w:rFonts w:hint="cs"/>
          <w:rtl/>
        </w:rPr>
        <w:t>לד בה"</w:t>
      </w:r>
      <w:r w:rsidRPr="008636EE">
        <w:rPr>
          <w:rStyle w:val="a3"/>
          <w:rtl/>
        </w:rPr>
        <w:endnoteReference w:id="27"/>
      </w:r>
      <w:r>
        <w:rPr>
          <w:rFonts w:hint="cs"/>
          <w:rtl/>
        </w:rPr>
        <w:t>, גם כאשר "איש מזריע תחלה").]</w:t>
      </w:r>
    </w:p>
    <w:p w:rsidR="005F4A47" w:rsidRDefault="00320A07"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A07" w:rsidRDefault="00320A07" w:rsidP="00C80B71">
      <w:pPr>
        <w:spacing w:after="0" w:line="240" w:lineRule="auto"/>
      </w:pPr>
      <w:r>
        <w:separator/>
      </w:r>
    </w:p>
  </w:endnote>
  <w:endnote w:type="continuationSeparator" w:id="0">
    <w:p w:rsidR="00320A07" w:rsidRDefault="00320A07" w:rsidP="00C80B71">
      <w:pPr>
        <w:spacing w:after="0" w:line="240" w:lineRule="auto"/>
      </w:pPr>
      <w:r>
        <w:continuationSeparator/>
      </w:r>
    </w:p>
  </w:endnote>
  <w:endnote w:id="1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כמבואר בארוכה בתורה הקודמת.</w:t>
      </w:r>
    </w:p>
  </w:endnote>
  <w:endnote w:id="2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י.</w:t>
      </w:r>
    </w:p>
  </w:endnote>
  <w:endnote w:id="3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פסוק ט. וראה ביאור דבריו באורך ביין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ד.</w:t>
      </w:r>
    </w:p>
  </w:endnote>
  <w:endnote w:id="4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ל, כ. ראה גם בראשית לט, ו (ובמפרשים שם) ושמות ב, כ (ובמפרשים שם).</w:t>
      </w:r>
    </w:p>
  </w:endnote>
  <w:endnote w:id="5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יבמות </w:t>
      </w:r>
      <w:proofErr w:type="spellStart"/>
      <w:r>
        <w:rPr>
          <w:rFonts w:hint="cs"/>
          <w:rtl/>
        </w:rPr>
        <w:t>נה</w:t>
      </w:r>
      <w:proofErr w:type="spellEnd"/>
      <w:r>
        <w:rPr>
          <w:rFonts w:hint="cs"/>
          <w:rtl/>
        </w:rPr>
        <w:t>, ב.</w:t>
      </w:r>
    </w:p>
  </w:endnote>
  <w:endnote w:id="6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קדושין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ב ברש"י ד"ה "בדבר שבממון".</w:t>
      </w:r>
    </w:p>
  </w:endnote>
  <w:endnote w:id="7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, ז וברש"י שם.</w:t>
      </w:r>
    </w:p>
  </w:endnote>
  <w:endnote w:id="8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יחזקאל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 ושם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, כ.</w:t>
      </w:r>
    </w:p>
  </w:endnote>
  <w:endnote w:id="9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יין משמח ח"א שער ה בתורה "שאר כסות ועונה ברוחניות" כי ברוחניות שאר היינו לימוד התורה.</w:t>
      </w:r>
    </w:p>
  </w:endnote>
  <w:endnote w:id="10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ה,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11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עירובין נד, ב.</w:t>
      </w:r>
    </w:p>
  </w:endnote>
  <w:endnote w:id="12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שער א בתורה "אלול </w:t>
      </w:r>
      <w:r>
        <w:rPr>
          <w:rtl/>
        </w:rPr>
        <w:t>–</w:t>
      </w:r>
      <w:r>
        <w:rPr>
          <w:rFonts w:hint="cs"/>
          <w:rtl/>
        </w:rPr>
        <w:t xml:space="preserve"> התחדשות הנישואין" (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Ref302075553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ח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  <w:endnote w:id="13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, טו.</w:t>
      </w:r>
    </w:p>
  </w:endnote>
  <w:endnote w:id="14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לא.</w:t>
      </w:r>
    </w:p>
  </w:endnote>
  <w:endnote w:id="15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כמבואר בכתבי רבי אברהם </w:t>
      </w:r>
      <w:proofErr w:type="spellStart"/>
      <w:r>
        <w:rPr>
          <w:rFonts w:hint="cs"/>
          <w:rtl/>
        </w:rPr>
        <w:t>אבולעפיא</w:t>
      </w:r>
      <w:proofErr w:type="spellEnd"/>
      <w:r>
        <w:rPr>
          <w:rFonts w:hint="cs"/>
          <w:rtl/>
        </w:rPr>
        <w:t xml:space="preserve"> זצ"ל (ראה למשל ספר המלמד שער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), וראה יין משמח ח"ד ש"ו בתורה "</w:t>
      </w:r>
      <w:proofErr w:type="spellStart"/>
      <w:r>
        <w:rPr>
          <w:rFonts w:hint="cs"/>
          <w:rtl/>
        </w:rPr>
        <w:t>טפת</w:t>
      </w:r>
      <w:proofErr w:type="spellEnd"/>
      <w:r>
        <w:rPr>
          <w:rFonts w:hint="cs"/>
          <w:rtl/>
        </w:rPr>
        <w:t xml:space="preserve"> דם כחרדל".</w:t>
      </w:r>
    </w:p>
  </w:endnote>
  <w:endnote w:id="16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רבה כה, ג.</w:t>
      </w:r>
    </w:p>
  </w:endnote>
  <w:endnote w:id="17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ילקוט שמעוני </w:t>
      </w:r>
      <w:proofErr w:type="spellStart"/>
      <w:r>
        <w:rPr>
          <w:rFonts w:hint="cs"/>
          <w:rtl/>
        </w:rPr>
        <w:t>תקמז</w:t>
      </w:r>
      <w:proofErr w:type="spellEnd"/>
      <w:r>
        <w:rPr>
          <w:rFonts w:hint="cs"/>
          <w:rtl/>
        </w:rPr>
        <w:t>.</w:t>
      </w:r>
    </w:p>
  </w:endnote>
  <w:endnote w:id="18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מסכת כלה פ"א (בסופו). </w:t>
      </w:r>
      <w:proofErr w:type="spellStart"/>
      <w:r>
        <w:rPr>
          <w:rFonts w:hint="cs"/>
          <w:rtl/>
        </w:rPr>
        <w:t>טושו"ע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רמ</w:t>
      </w:r>
      <w:proofErr w:type="spellEnd"/>
      <w:r>
        <w:rPr>
          <w:rFonts w:hint="cs"/>
          <w:rtl/>
        </w:rPr>
        <w:t xml:space="preserve"> (וראה באופן אחר בשער ז בתורה "סומך נופלים").</w:t>
      </w:r>
    </w:p>
  </w:endnote>
  <w:endnote w:id="19">
    <w:p w:rsidR="00C80B71" w:rsidRPr="00F23CAB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>וראה גם עירובין ק, ב וברש"י שם ד"ה "שבח הוא לה".</w:t>
      </w:r>
    </w:p>
  </w:endnote>
  <w:endnote w:id="20">
    <w:p w:rsidR="00C80B71" w:rsidRPr="00F23CAB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>וראה בסוף התורה הקודמת, בסוד "נכון לבו בטוח בה'".</w:t>
      </w:r>
    </w:p>
  </w:endnote>
  <w:endnote w:id="21">
    <w:p w:rsidR="00C80B71" w:rsidRPr="00F23CAB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>ראה דרך מצותיך מצות מחצית השקל (סה, ב): "</w:t>
      </w:r>
      <w:r w:rsidRPr="00F23CAB">
        <w:rPr>
          <w:rtl/>
        </w:rPr>
        <w:t xml:space="preserve">והוא </w:t>
      </w:r>
      <w:proofErr w:type="spellStart"/>
      <w:r w:rsidRPr="00F23CAB">
        <w:rPr>
          <w:rtl/>
        </w:rPr>
        <w:t>כענין</w:t>
      </w:r>
      <w:proofErr w:type="spellEnd"/>
      <w:r w:rsidRPr="00F23CAB">
        <w:rPr>
          <w:rtl/>
        </w:rPr>
        <w:t xml:space="preserve"> </w:t>
      </w:r>
      <w:r w:rsidRPr="00F23CAB">
        <w:rPr>
          <w:rFonts w:hint="cs"/>
          <w:rtl/>
        </w:rPr>
        <w:t>'</w:t>
      </w:r>
      <w:r w:rsidRPr="00F23CAB">
        <w:rPr>
          <w:rtl/>
        </w:rPr>
        <w:t>ימינו תחבקני</w:t>
      </w:r>
      <w:r w:rsidRPr="00F23CAB">
        <w:rPr>
          <w:rFonts w:hint="cs"/>
          <w:rtl/>
        </w:rPr>
        <w:t>',</w:t>
      </w:r>
      <w:r w:rsidRPr="00F23CAB">
        <w:rPr>
          <w:rtl/>
        </w:rPr>
        <w:t xml:space="preserve"> </w:t>
      </w:r>
      <w:proofErr w:type="spellStart"/>
      <w:r w:rsidRPr="00F23CAB">
        <w:rPr>
          <w:rtl/>
        </w:rPr>
        <w:t>שהדכר</w:t>
      </w:r>
      <w:proofErr w:type="spellEnd"/>
      <w:r w:rsidRPr="00F23CAB">
        <w:rPr>
          <w:rtl/>
        </w:rPr>
        <w:t xml:space="preserve"> מחבק לנוק' ומחממה ואינה השפעה פנימית כ"א בחי' מקיף </w:t>
      </w:r>
      <w:proofErr w:type="spellStart"/>
      <w:r w:rsidRPr="00F23CAB">
        <w:rPr>
          <w:rtl/>
        </w:rPr>
        <w:t>ועי"ז</w:t>
      </w:r>
      <w:proofErr w:type="spellEnd"/>
      <w:r w:rsidRPr="00F23CAB">
        <w:rPr>
          <w:rtl/>
        </w:rPr>
        <w:t xml:space="preserve"> מתפעלת להזריע אח"כ </w:t>
      </w:r>
      <w:proofErr w:type="spellStart"/>
      <w:r w:rsidRPr="00F23CAB">
        <w:rPr>
          <w:rtl/>
        </w:rPr>
        <w:t>המ"ן</w:t>
      </w:r>
      <w:proofErr w:type="spellEnd"/>
      <w:r w:rsidRPr="00F23CAB">
        <w:rPr>
          <w:rtl/>
        </w:rPr>
        <w:t xml:space="preserve"> ואז מזריע הזכר מ"ד שפע פנימי' להוליד ולד</w:t>
      </w:r>
      <w:r w:rsidRPr="00F23CAB">
        <w:rPr>
          <w:rFonts w:hint="cs"/>
          <w:rtl/>
        </w:rPr>
        <w:t>".</w:t>
      </w:r>
    </w:p>
  </w:endnote>
  <w:endnote w:id="22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נדה לא, א.</w:t>
      </w:r>
    </w:p>
  </w:endnote>
  <w:endnote w:id="23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בסוף התורה הקודמת בסוד "מרגוע לנפשו".</w:t>
      </w:r>
    </w:p>
  </w:endnote>
  <w:endnote w:id="24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אגרות קדש </w:t>
      </w:r>
      <w:proofErr w:type="spellStart"/>
      <w:r>
        <w:rPr>
          <w:rFonts w:hint="cs"/>
          <w:rtl/>
        </w:rPr>
        <w:t>חי"א</w:t>
      </w:r>
      <w:proofErr w:type="spellEnd"/>
      <w:r>
        <w:rPr>
          <w:rFonts w:hint="cs"/>
          <w:rtl/>
        </w:rPr>
        <w:t xml:space="preserve"> אגרת </w:t>
      </w:r>
      <w:proofErr w:type="spellStart"/>
      <w:r>
        <w:rPr>
          <w:rFonts w:hint="cs"/>
          <w:rtl/>
        </w:rPr>
        <w:t>ג'תרנא</w:t>
      </w:r>
      <w:proofErr w:type="spellEnd"/>
      <w:r>
        <w:rPr>
          <w:rFonts w:hint="cs"/>
          <w:rtl/>
        </w:rPr>
        <w:t>.</w:t>
      </w:r>
    </w:p>
  </w:endnote>
  <w:endnote w:id="25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בראשית רבה,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ג (ובספר גוף נפש ונשמה ביאור ז).</w:t>
      </w:r>
    </w:p>
  </w:endnote>
  <w:endnote w:id="26">
    <w:p w:rsidR="00C80B71" w:rsidRDefault="00C80B71" w:rsidP="00C80B71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תענית ט, א.</w:t>
      </w:r>
    </w:p>
  </w:endnote>
  <w:endnote w:id="27">
    <w:p w:rsidR="00C80B71" w:rsidRDefault="00C80B71" w:rsidP="00C80B71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פז, ה. וראה תורה אור מקץ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 xml:space="preserve">, ג ובעתה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רפח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A07" w:rsidRDefault="00320A07" w:rsidP="00C80B71">
      <w:pPr>
        <w:spacing w:after="0" w:line="240" w:lineRule="auto"/>
      </w:pPr>
      <w:r>
        <w:separator/>
      </w:r>
    </w:p>
  </w:footnote>
  <w:footnote w:type="continuationSeparator" w:id="0">
    <w:p w:rsidR="00320A07" w:rsidRDefault="00320A07" w:rsidP="00C80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C3"/>
    <w:rsid w:val="00061E65"/>
    <w:rsid w:val="00100EC3"/>
    <w:rsid w:val="00320A07"/>
    <w:rsid w:val="00AC2310"/>
    <w:rsid w:val="00C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80B71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80B7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80B7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C80B71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C80B71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C80B71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C80B71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C80B7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C80B7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80B71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80B7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80B7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C80B71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C80B71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C80B71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C80B71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C80B7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C80B7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2017-08-16T10:46:00Z</dcterms:created>
  <dcterms:modified xsi:type="dcterms:W3CDTF">2017-08-16T10:46:00Z</dcterms:modified>
</cp:coreProperties>
</file>