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0B" w:rsidRDefault="00B0560B" w:rsidP="00B0560B">
      <w:pPr>
        <w:pStyle w:val="2"/>
        <w:rPr>
          <w:rFonts w:hint="cs"/>
          <w:rtl/>
        </w:rPr>
      </w:pPr>
      <w:r>
        <w:rPr>
          <w:rFonts w:hint="cs"/>
          <w:rtl/>
        </w:rPr>
        <w:t>לשחות נגד הזרם</w:t>
      </w:r>
    </w:p>
    <w:p w:rsidR="00B0560B" w:rsidRPr="002E2CC9" w:rsidRDefault="00B0560B" w:rsidP="00B0560B">
      <w:pPr>
        <w:keepNext/>
        <w:framePr w:dropCap="drop" w:lines="2" w:hSpace="57" w:wrap="around" w:vAnchor="text" w:hAnchor="text" w:xAlign="right"/>
        <w:spacing w:after="0" w:line="760" w:lineRule="exact"/>
        <w:textAlignment w:val="baseline"/>
        <w:rPr>
          <w:rStyle w:val="a9"/>
          <w:rtl/>
        </w:rPr>
      </w:pPr>
      <w:r w:rsidRPr="002E2CC9">
        <w:rPr>
          <w:rStyle w:val="a9"/>
          <w:rFonts w:hint="cs"/>
          <w:rtl/>
        </w:rPr>
        <w:t>ה</w:t>
      </w:r>
    </w:p>
    <w:p w:rsidR="00B0560B" w:rsidRDefault="00B0560B" w:rsidP="00B0560B">
      <w:pPr>
        <w:rPr>
          <w:rFonts w:hint="cs"/>
          <w:rtl/>
        </w:rPr>
      </w:pPr>
      <w:r>
        <w:rPr>
          <w:rFonts w:hint="cs"/>
          <w:rtl/>
        </w:rPr>
        <w:t>יחוד בין איש ואשתו צריך להיות בסוד "מי השִלֹח ההֹלכים לאט"</w:t>
      </w:r>
      <w:r w:rsidRPr="008636EE">
        <w:rPr>
          <w:rStyle w:val="a3"/>
          <w:rtl/>
        </w:rPr>
        <w:endnoteReference w:id="1"/>
      </w:r>
      <w:r>
        <w:rPr>
          <w:rFonts w:hint="cs"/>
          <w:rtl/>
        </w:rPr>
        <w:t>, כאשר על האיש להאט ולהתאים את עצמו לקצב של אשתו</w:t>
      </w:r>
      <w:r w:rsidRPr="008636EE">
        <w:rPr>
          <w:rStyle w:val="a3"/>
          <w:rtl/>
        </w:rPr>
        <w:endnoteReference w:id="2"/>
      </w:r>
      <w:r>
        <w:rPr>
          <w:rFonts w:hint="cs"/>
          <w:rtl/>
        </w:rPr>
        <w:t>. והנה, על מעין השילוח מספרים חז"ל: "שילוח היה מקלח מים בכאיסר, צוה המלך והרחיבוהו כדי שיתרבו מימיו ונתמעטו, חזרו ומיעטוהו והיה מקלח מים, לקיים מה שנאמר 'אל יתהלל חכם בחכמתו'</w:t>
      </w:r>
      <w:r w:rsidRPr="008636EE">
        <w:rPr>
          <w:rStyle w:val="a3"/>
          <w:rtl/>
        </w:rPr>
        <w:endnoteReference w:id="3"/>
      </w:r>
      <w:r>
        <w:rPr>
          <w:rFonts w:hint="cs"/>
          <w:rtl/>
        </w:rPr>
        <w:t>"</w:t>
      </w:r>
      <w:r w:rsidRPr="008636EE">
        <w:rPr>
          <w:rStyle w:val="a3"/>
          <w:rtl/>
        </w:rPr>
        <w:endnoteReference w:id="4"/>
      </w:r>
      <w:r>
        <w:rPr>
          <w:rFonts w:hint="cs"/>
          <w:rtl/>
        </w:rPr>
        <w:t xml:space="preserve">. </w:t>
      </w:r>
    </w:p>
    <w:p w:rsidR="00B0560B" w:rsidRDefault="00B0560B" w:rsidP="00B0560B">
      <w:pPr>
        <w:rPr>
          <w:rFonts w:hint="cs"/>
          <w:rtl/>
        </w:rPr>
      </w:pPr>
      <w:r>
        <w:rPr>
          <w:rFonts w:hint="cs"/>
          <w:rtl/>
        </w:rPr>
        <w:t>בפשטות, לתיאור הגמרא את ההיסטוריה של מעין השילוח מתלווה נופך שלילי, אך החסידות</w:t>
      </w:r>
      <w:r w:rsidRPr="008636EE">
        <w:rPr>
          <w:rStyle w:val="a3"/>
          <w:rtl/>
        </w:rPr>
        <w:endnoteReference w:id="5"/>
      </w:r>
      <w:r>
        <w:rPr>
          <w:rFonts w:hint="cs"/>
          <w:rtl/>
        </w:rPr>
        <w:t xml:space="preserve"> לומדת ממנו אודות תהליך טבעי, הכרחי ואף רצוי: חלקו הראשון של המאמר מובא כתיאור סדר השתלשלות, המתחיל ממיעוט כלים וריבוי אורות ("מקלח מים בכאיסר") וממשיך בריבוי כלים הממעטים את האורות ("הרחיבוהו ונתמעטו מימיו"). בפרטות, עוצמת הקילוח שייכת לספירת הכתר, בה העיקר הוא האורות המרובים (עד שהכתר נקרא "תהו"</w:t>
      </w:r>
      <w:r w:rsidRPr="008636EE">
        <w:rPr>
          <w:rStyle w:val="a3"/>
          <w:rtl/>
        </w:rPr>
        <w:endnoteReference w:id="6"/>
      </w:r>
      <w:r>
        <w:rPr>
          <w:rFonts w:hint="cs"/>
          <w:rtl/>
        </w:rPr>
        <w:t>, עולם של ריבוי אורות ומיעוט כלים); צמצום הקילוח עצמו להיות "מקלח מים בכאיסר" שייך לספירת החכמה, ראשית ההשתלשלות, משום שבלי צמצום האור האין סופי לא ניתן להתחיל את סדר ההשתלשלות (וכך הסדר של י-ה-ו-ה הוא סדר של צמצום-התפשטות-המשכה-התפשטות</w:t>
      </w:r>
      <w:r w:rsidRPr="008636EE">
        <w:rPr>
          <w:rStyle w:val="a3"/>
          <w:rtl/>
        </w:rPr>
        <w:endnoteReference w:id="7"/>
      </w:r>
      <w:r>
        <w:rPr>
          <w:rFonts w:hint="cs"/>
          <w:rtl/>
        </w:rPr>
        <w:t>, כאשר החכמה היא הצמצום הראשון); הרחבת הכלים ומיעוט המים-האורות שייכים לספירת הבינה, שרש ה"גרמוהי", לה שייך עצם מושג ההרחבה בהיותה "רחובות הנהר"</w:t>
      </w:r>
      <w:r w:rsidRPr="008636EE">
        <w:rPr>
          <w:rStyle w:val="a3"/>
          <w:rtl/>
        </w:rPr>
        <w:endnoteReference w:id="8"/>
      </w:r>
      <w:r>
        <w:rPr>
          <w:rFonts w:hint="cs"/>
          <w:rtl/>
        </w:rPr>
        <w:t>. ורמז נפלא בענין: "</w:t>
      </w:r>
      <w:r w:rsidRPr="007B264A">
        <w:rPr>
          <w:rFonts w:hint="cs"/>
          <w:b/>
          <w:bCs/>
          <w:sz w:val="28"/>
          <w:szCs w:val="28"/>
          <w:rtl/>
        </w:rPr>
        <w:t>מי</w:t>
      </w:r>
      <w:r>
        <w:rPr>
          <w:rFonts w:hint="cs"/>
          <w:rtl/>
        </w:rPr>
        <w:t xml:space="preserve"> </w:t>
      </w:r>
      <w:r w:rsidRPr="007B264A">
        <w:rPr>
          <w:rFonts w:hint="cs"/>
          <w:b/>
          <w:bCs/>
          <w:sz w:val="28"/>
          <w:szCs w:val="28"/>
          <w:rtl/>
        </w:rPr>
        <w:t>השלח</w:t>
      </w:r>
      <w:r>
        <w:rPr>
          <w:rFonts w:hint="cs"/>
          <w:rtl/>
        </w:rPr>
        <w:t xml:space="preserve"> </w:t>
      </w:r>
      <w:r w:rsidRPr="007B264A">
        <w:rPr>
          <w:rFonts w:hint="cs"/>
          <w:b/>
          <w:bCs/>
          <w:sz w:val="28"/>
          <w:szCs w:val="28"/>
          <w:rtl/>
        </w:rPr>
        <w:t>ההלכים</w:t>
      </w:r>
      <w:r>
        <w:rPr>
          <w:rFonts w:hint="cs"/>
          <w:rtl/>
        </w:rPr>
        <w:t xml:space="preserve"> </w:t>
      </w:r>
      <w:r w:rsidRPr="007B264A">
        <w:rPr>
          <w:rFonts w:hint="cs"/>
          <w:b/>
          <w:bCs/>
          <w:sz w:val="28"/>
          <w:szCs w:val="28"/>
          <w:rtl/>
        </w:rPr>
        <w:t>לאט</w:t>
      </w:r>
      <w:r>
        <w:rPr>
          <w:rFonts w:hint="cs"/>
          <w:rtl/>
        </w:rPr>
        <w:t>" עולה "</w:t>
      </w:r>
      <w:r w:rsidRPr="00015612">
        <w:rPr>
          <w:rFonts w:hint="cs"/>
          <w:b/>
          <w:bCs/>
          <w:sz w:val="28"/>
          <w:szCs w:val="28"/>
          <w:rtl/>
        </w:rPr>
        <w:t>אהיה</w:t>
      </w:r>
      <w:r>
        <w:rPr>
          <w:rFonts w:hint="cs"/>
          <w:rtl/>
        </w:rPr>
        <w:t xml:space="preserve"> </w:t>
      </w:r>
      <w:r w:rsidRPr="00015612">
        <w:rPr>
          <w:rFonts w:hint="cs"/>
          <w:b/>
          <w:bCs/>
          <w:sz w:val="28"/>
          <w:szCs w:val="28"/>
          <w:rtl/>
        </w:rPr>
        <w:t>אשר</w:t>
      </w:r>
      <w:r>
        <w:rPr>
          <w:rFonts w:hint="cs"/>
          <w:rtl/>
        </w:rPr>
        <w:t xml:space="preserve"> </w:t>
      </w:r>
      <w:r w:rsidRPr="00015612">
        <w:rPr>
          <w:rFonts w:hint="cs"/>
          <w:b/>
          <w:bCs/>
          <w:sz w:val="28"/>
          <w:szCs w:val="28"/>
          <w:rtl/>
        </w:rPr>
        <w:t>אהיה</w:t>
      </w:r>
      <w:r>
        <w:rPr>
          <w:rFonts w:hint="cs"/>
          <w:rtl/>
        </w:rPr>
        <w:t>"</w:t>
      </w:r>
      <w:r w:rsidRPr="008636EE">
        <w:rPr>
          <w:rStyle w:val="a3"/>
          <w:rtl/>
        </w:rPr>
        <w:endnoteReference w:id="9"/>
      </w:r>
      <w:r>
        <w:rPr>
          <w:rFonts w:hint="cs"/>
          <w:rtl/>
        </w:rPr>
        <w:t>, השם הקדוש ששלש מילותיו מכוונות כנגד הספירות כתר-חכמה-בינה</w:t>
      </w:r>
      <w:r w:rsidRPr="008636EE">
        <w:rPr>
          <w:rStyle w:val="a3"/>
          <w:rtl/>
        </w:rPr>
        <w:endnoteReference w:id="10"/>
      </w:r>
      <w:r>
        <w:rPr>
          <w:rFonts w:hint="cs"/>
          <w:rtl/>
        </w:rPr>
        <w:t>!</w:t>
      </w:r>
    </w:p>
    <w:p w:rsidR="00B0560B" w:rsidRDefault="00B0560B" w:rsidP="00B0560B">
      <w:pPr>
        <w:rPr>
          <w:rFonts w:hint="cs"/>
          <w:rtl/>
        </w:rPr>
      </w:pPr>
      <w:r>
        <w:rPr>
          <w:rFonts w:hint="cs"/>
          <w:rtl/>
        </w:rPr>
        <w:t xml:space="preserve">גם בקשר בין איש לאשתו, כח האיפוק והרגיעה של האיש תלוי במיעוט אורות וריבוי כלים </w:t>
      </w:r>
      <w:r>
        <w:rPr>
          <w:rtl/>
        </w:rPr>
        <w:t>–</w:t>
      </w:r>
      <w:r>
        <w:rPr>
          <w:rFonts w:hint="cs"/>
          <w:rtl/>
        </w:rPr>
        <w:t xml:space="preserve"> במיעוט החשק והתלהבות אש-הקדש וריבוי רגישות למציאותה של אשתו ולקצב שלה (שהרי קצב ה'כלים' איטי בהרבה מקצב </w:t>
      </w:r>
      <w:r>
        <w:rPr>
          <w:rFonts w:hint="cs"/>
          <w:rtl/>
        </w:rPr>
        <w:lastRenderedPageBreak/>
        <w:t>ה'אורות'</w:t>
      </w:r>
      <w:r w:rsidRPr="008636EE">
        <w:rPr>
          <w:rStyle w:val="a3"/>
          <w:rtl/>
        </w:rPr>
        <w:endnoteReference w:id="11"/>
      </w:r>
      <w:r>
        <w:rPr>
          <w:rFonts w:hint="cs"/>
          <w:rtl/>
        </w:rPr>
        <w:t>). בסדר הספירות, אש ההתלהבות שייכת לספירת הכתר, השרש המשותף של בני הזוג; כח הצמצום הראשוני של האיש-האבא הוא ספירת החכמה (פרצוף אבא), כאשר הוא מצמצם את "כח האין סוף"</w:t>
      </w:r>
      <w:r w:rsidRPr="008636EE">
        <w:rPr>
          <w:rStyle w:val="a3"/>
          <w:rtl/>
        </w:rPr>
        <w:endnoteReference w:id="12"/>
      </w:r>
      <w:r>
        <w:rPr>
          <w:rFonts w:hint="cs"/>
          <w:rtl/>
        </w:rPr>
        <w:t xml:space="preserve"> של הפריה והרביה לטפת זרע אחת; הרגישות לאשה-האמא היא ספירת הבינה (פרצוף אמא), כאשר האטת הקצב של האיש גורמת לכך ש"אשה מזרעת תחלה יולדת זכר"</w:t>
      </w:r>
      <w:r w:rsidRPr="008636EE">
        <w:rPr>
          <w:rStyle w:val="a3"/>
          <w:rtl/>
        </w:rPr>
        <w:endnoteReference w:id="13"/>
      </w:r>
      <w:r>
        <w:rPr>
          <w:rFonts w:hint="cs"/>
          <w:rtl/>
        </w:rPr>
        <w:t xml:space="preserve"> ונמשכות נשמות שבבחינת "</w:t>
      </w:r>
      <w:r w:rsidRPr="008371E5">
        <w:rPr>
          <w:rFonts w:hint="cs"/>
          <w:b/>
          <w:bCs/>
          <w:sz w:val="28"/>
          <w:szCs w:val="28"/>
          <w:rtl/>
        </w:rPr>
        <w:t>בנים</w:t>
      </w:r>
      <w:r>
        <w:rPr>
          <w:rFonts w:hint="cs"/>
          <w:rtl/>
        </w:rPr>
        <w:t xml:space="preserve"> </w:t>
      </w:r>
      <w:r w:rsidRPr="008371E5">
        <w:rPr>
          <w:rFonts w:hint="cs"/>
          <w:b/>
          <w:bCs/>
          <w:sz w:val="28"/>
          <w:szCs w:val="28"/>
          <w:rtl/>
        </w:rPr>
        <w:t>אתם</w:t>
      </w:r>
      <w:r>
        <w:rPr>
          <w:rFonts w:hint="cs"/>
          <w:rtl/>
        </w:rPr>
        <w:t>"</w:t>
      </w:r>
      <w:r w:rsidRPr="008636EE">
        <w:rPr>
          <w:rStyle w:val="a3"/>
          <w:rtl/>
        </w:rPr>
        <w:endnoteReference w:id="14"/>
      </w:r>
      <w:r>
        <w:rPr>
          <w:rFonts w:hint="cs"/>
          <w:rtl/>
        </w:rPr>
        <w:t xml:space="preserve"> (בגימטריא "</w:t>
      </w:r>
      <w:r w:rsidRPr="008371E5">
        <w:rPr>
          <w:rFonts w:hint="cs"/>
          <w:b/>
          <w:bCs/>
          <w:sz w:val="28"/>
          <w:szCs w:val="28"/>
          <w:rtl/>
        </w:rPr>
        <w:t>מי</w:t>
      </w:r>
      <w:r>
        <w:rPr>
          <w:rFonts w:hint="cs"/>
          <w:rtl/>
        </w:rPr>
        <w:t xml:space="preserve"> </w:t>
      </w:r>
      <w:r w:rsidRPr="008371E5">
        <w:rPr>
          <w:rFonts w:hint="cs"/>
          <w:b/>
          <w:bCs/>
          <w:sz w:val="28"/>
          <w:szCs w:val="28"/>
          <w:rtl/>
        </w:rPr>
        <w:t>השלח</w:t>
      </w:r>
      <w:r>
        <w:rPr>
          <w:rFonts w:hint="cs"/>
          <w:rtl/>
        </w:rPr>
        <w:t xml:space="preserve"> </w:t>
      </w:r>
      <w:r w:rsidRPr="008371E5">
        <w:rPr>
          <w:rFonts w:hint="cs"/>
          <w:b/>
          <w:bCs/>
          <w:sz w:val="28"/>
          <w:szCs w:val="28"/>
          <w:rtl/>
        </w:rPr>
        <w:t>ההלכים</w:t>
      </w:r>
      <w:r>
        <w:rPr>
          <w:rFonts w:hint="cs"/>
          <w:rtl/>
        </w:rPr>
        <w:t xml:space="preserve"> </w:t>
      </w:r>
      <w:r w:rsidRPr="008371E5">
        <w:rPr>
          <w:rFonts w:hint="cs"/>
          <w:b/>
          <w:bCs/>
          <w:sz w:val="28"/>
          <w:szCs w:val="28"/>
          <w:rtl/>
        </w:rPr>
        <w:t>לאט</w:t>
      </w:r>
      <w:r>
        <w:rPr>
          <w:rFonts w:hint="cs"/>
          <w:rtl/>
        </w:rPr>
        <w:t>").</w:t>
      </w:r>
    </w:p>
    <w:p w:rsidR="00B0560B" w:rsidRDefault="00B0560B" w:rsidP="00B0560B">
      <w:pPr>
        <w:rPr>
          <w:rFonts w:hint="cs"/>
          <w:rtl/>
        </w:rPr>
      </w:pPr>
      <w:r>
        <w:rPr>
          <w:rFonts w:hint="cs"/>
          <w:rtl/>
        </w:rPr>
        <w:t>אמנם, מאמר חז"ל בשלמותו מדגיש כי התכלית איננה ההאטה והמיעוט לכשעצמם, ובסופו של דבר יש להחזיר את השילוח לקילוחו הראשון. אם 'נתקעים' במגמה של ריבוי כלים והאטת הקצב אש האהבה המקורית הולכת ודועכת, האבר מת, ולא מגיעים לכלל ביאה חלילה. האיפוק והאטת הקצב צריכים להגיע מתוך בטול האיש את עצמו לטובת בת זוגו, כאשר בסופו של דבר הוא מתבטל ו'נכנע' גם לטבע (שברא ה'</w:t>
      </w:r>
      <w:r w:rsidRPr="008636EE">
        <w:rPr>
          <w:rStyle w:val="a3"/>
          <w:rtl/>
        </w:rPr>
        <w:endnoteReference w:id="15"/>
      </w:r>
      <w:r>
        <w:rPr>
          <w:rFonts w:hint="cs"/>
          <w:rtl/>
        </w:rPr>
        <w:t>) ולא יכול להתאפק עוד. לעומת זאת, כאשר האיפוק והאטת הקצב נובעים מתוך גאוה</w:t>
      </w:r>
      <w:bookmarkStart w:id="0" w:name="_Ref300705549"/>
      <w:r w:rsidRPr="008636EE">
        <w:rPr>
          <w:rStyle w:val="a3"/>
          <w:rtl/>
        </w:rPr>
        <w:endnoteReference w:id="16"/>
      </w:r>
      <w:bookmarkEnd w:id="0"/>
      <w:r>
        <w:rPr>
          <w:rFonts w:hint="cs"/>
          <w:rtl/>
        </w:rPr>
        <w:t>, רצון להפגין גבריות ותחושת "יתהלל חכם בחכמתו" הם נהפכים לשליליים (ועד שמתברר כי הם גופא קיום של הפסוק השלם, "יען כי מאס העם הזה את מי השלח ההלכים לאט"</w:t>
      </w:r>
      <w:r w:rsidRPr="00570550">
        <w:rPr>
          <w:rStyle w:val="a7"/>
          <w:rtl/>
        </w:rPr>
        <w:fldChar w:fldCharType="begin"/>
      </w:r>
      <w:r w:rsidRPr="00570550">
        <w:rPr>
          <w:rStyle w:val="a7"/>
          <w:rtl/>
        </w:rPr>
        <w:instrText xml:space="preserve"> </w:instrText>
      </w:r>
      <w:r w:rsidRPr="00570550">
        <w:rPr>
          <w:rStyle w:val="a7"/>
          <w:rFonts w:hint="cs"/>
        </w:rPr>
        <w:instrText>NOTEREF</w:instrText>
      </w:r>
      <w:r w:rsidRPr="00570550">
        <w:rPr>
          <w:rStyle w:val="a7"/>
          <w:rFonts w:hint="cs"/>
          <w:rtl/>
        </w:rPr>
        <w:instrText xml:space="preserve"> _</w:instrText>
      </w:r>
      <w:r w:rsidRPr="00570550">
        <w:rPr>
          <w:rStyle w:val="a7"/>
          <w:rFonts w:hint="cs"/>
        </w:rPr>
        <w:instrText>Ref300705549 \h</w:instrText>
      </w:r>
      <w:r w:rsidRPr="00570550">
        <w:rPr>
          <w:rStyle w:val="a7"/>
          <w:rtl/>
        </w:rPr>
        <w:instrText xml:space="preserve"> </w:instrText>
      </w:r>
      <w:r w:rsidRPr="00570550">
        <w:rPr>
          <w:rStyle w:val="a7"/>
        </w:rPr>
      </w:r>
      <w:r>
        <w:rPr>
          <w:rStyle w:val="a7"/>
        </w:rPr>
        <w:instrText xml:space="preserve"> \* MERGEFORMAT </w:instrText>
      </w:r>
      <w:r>
        <w:rPr>
          <w:rStyle w:val="a7"/>
          <w:rtl/>
        </w:rPr>
        <w:fldChar w:fldCharType="separate"/>
      </w:r>
      <w:r>
        <w:rPr>
          <w:rStyle w:val="a7"/>
          <w:rtl/>
        </w:rPr>
        <w:t>טז</w:t>
      </w:r>
      <w:r w:rsidRPr="00570550">
        <w:rPr>
          <w:rStyle w:val="a7"/>
          <w:rtl/>
        </w:rPr>
        <w:fldChar w:fldCharType="end"/>
      </w:r>
      <w:r>
        <w:rPr>
          <w:rFonts w:hint="cs"/>
          <w:rtl/>
        </w:rPr>
        <w:t>)</w:t>
      </w:r>
    </w:p>
    <w:p w:rsidR="00B0560B" w:rsidRDefault="00B0560B" w:rsidP="00B0560B">
      <w:pPr>
        <w:rPr>
          <w:rFonts w:hint="cs"/>
          <w:rtl/>
        </w:rPr>
      </w:pPr>
      <w:r>
        <w:rPr>
          <w:rFonts w:hint="cs"/>
          <w:rtl/>
        </w:rPr>
        <w:t>כלומר, גם אם זקוקים לבנין "כלים דתיקון", בסופו של דבר כדי להביא את המשיח נדרשת החזרה של ה"אורות מרובים דתהו"</w:t>
      </w:r>
      <w:r w:rsidRPr="008636EE">
        <w:rPr>
          <w:rStyle w:val="a3"/>
          <w:rtl/>
        </w:rPr>
        <w:endnoteReference w:id="17"/>
      </w:r>
      <w:r>
        <w:rPr>
          <w:rFonts w:hint="cs"/>
          <w:rtl/>
        </w:rPr>
        <w:t>. כך ביחוד הקדוש בין האיש ואשתו, על אף הצורך באיפוק ובריבוי כלים, בסופו של דבר, לאחר השיהוי בחיבוק ונישוק</w:t>
      </w:r>
      <w:r w:rsidRPr="008636EE">
        <w:rPr>
          <w:rStyle w:val="a3"/>
          <w:rtl/>
        </w:rPr>
        <w:endnoteReference w:id="18"/>
      </w:r>
      <w:r>
        <w:rPr>
          <w:rFonts w:hint="cs"/>
          <w:rtl/>
        </w:rPr>
        <w:t>, מגיעים לרגע של "ולא יכ</w:t>
      </w:r>
      <w:r>
        <w:rPr>
          <w:rFonts w:hint="eastAsia"/>
          <w:rtl/>
        </w:rPr>
        <w:t>ֹ</w:t>
      </w:r>
      <w:r>
        <w:rPr>
          <w:rFonts w:hint="cs"/>
          <w:rtl/>
        </w:rPr>
        <w:t>ל יוסף להתאפק"</w:t>
      </w:r>
      <w:r w:rsidRPr="008636EE">
        <w:rPr>
          <w:rStyle w:val="a3"/>
          <w:rtl/>
        </w:rPr>
        <w:endnoteReference w:id="19"/>
      </w:r>
      <w:r>
        <w:rPr>
          <w:rFonts w:hint="cs"/>
          <w:rtl/>
        </w:rPr>
        <w:t xml:space="preserve"> כאשר חוזרים לריבוי אורות מתפרצים </w:t>
      </w:r>
      <w:r>
        <w:rPr>
          <w:rtl/>
        </w:rPr>
        <w:t>–</w:t>
      </w:r>
      <w:r>
        <w:rPr>
          <w:rFonts w:hint="cs"/>
          <w:rtl/>
        </w:rPr>
        <w:t xml:space="preserve"> "והיינו לפי שהתפעלות ותנועת הנפש בשעת מעשה [בגמר ביאה] היא מאדיית, שאין דבר עומד לנגדה"</w:t>
      </w:r>
      <w:r w:rsidRPr="008636EE">
        <w:rPr>
          <w:rStyle w:val="a3"/>
          <w:rtl/>
        </w:rPr>
        <w:endnoteReference w:id="20"/>
      </w:r>
      <w:r>
        <w:rPr>
          <w:rFonts w:hint="cs"/>
          <w:rtl/>
        </w:rPr>
        <w:t xml:space="preserve">. </w:t>
      </w:r>
    </w:p>
    <w:p w:rsidR="00B0560B" w:rsidRPr="00F23CAB" w:rsidRDefault="00B0560B" w:rsidP="00B0560B">
      <w:pPr>
        <w:rPr>
          <w:rFonts w:hint="cs"/>
          <w:rtl/>
        </w:rPr>
      </w:pPr>
      <w:r w:rsidRPr="00F23CAB">
        <w:rPr>
          <w:rFonts w:hint="cs"/>
          <w:rtl/>
        </w:rPr>
        <w:t>[העובדה שבגמר ביאה מגיעים למצב של "בכל מאדך"</w:t>
      </w:r>
      <w:r w:rsidRPr="008636EE">
        <w:rPr>
          <w:rStyle w:val="a3"/>
          <w:rtl/>
        </w:rPr>
        <w:endnoteReference w:id="21"/>
      </w:r>
      <w:r w:rsidRPr="00F23CAB">
        <w:rPr>
          <w:rFonts w:hint="cs"/>
          <w:rtl/>
        </w:rPr>
        <w:t>, בתנועה בלתי ניתנת לעצירה, מובאת בהקשר לאמור בשמשון הגבור "'ותאלצהו'</w:t>
      </w:r>
      <w:r w:rsidRPr="008636EE">
        <w:rPr>
          <w:rStyle w:val="a3"/>
          <w:rtl/>
        </w:rPr>
        <w:endnoteReference w:id="22"/>
      </w:r>
      <w:r w:rsidRPr="00F23CAB">
        <w:rPr>
          <w:rFonts w:hint="cs"/>
          <w:rtl/>
        </w:rPr>
        <w:t>... בשעת גמר נשמטה מתחתיו"</w:t>
      </w:r>
      <w:r w:rsidRPr="008636EE">
        <w:rPr>
          <w:rStyle w:val="a3"/>
          <w:rtl/>
        </w:rPr>
        <w:endnoteReference w:id="23"/>
      </w:r>
      <w:r w:rsidRPr="00F23CAB">
        <w:rPr>
          <w:rFonts w:hint="cs"/>
          <w:rtl/>
        </w:rPr>
        <w:t>, והרי שמשון הגבור הוא "משיח דתהו"</w:t>
      </w:r>
      <w:r w:rsidRPr="008636EE">
        <w:rPr>
          <w:rStyle w:val="a3"/>
          <w:rtl/>
        </w:rPr>
        <w:endnoteReference w:id="24"/>
      </w:r>
      <w:r w:rsidRPr="00F23CAB">
        <w:rPr>
          <w:rFonts w:hint="cs"/>
          <w:rtl/>
        </w:rPr>
        <w:t>, בעל אורות דתהו החסר כלים דתיקון, דבר הבא לידי ביטוי בכך שהיה חגר בשתי רגליו</w:t>
      </w:r>
      <w:r w:rsidRPr="008636EE">
        <w:rPr>
          <w:rStyle w:val="a3"/>
          <w:rtl/>
        </w:rPr>
        <w:endnoteReference w:id="25"/>
      </w:r>
      <w:r w:rsidRPr="00F23CAB">
        <w:rPr>
          <w:rFonts w:hint="cs"/>
          <w:rtl/>
        </w:rPr>
        <w:t xml:space="preserve"> (אך גם מי שיש לו רגלים, דהיינו כלים דתיקון, צריך לדעת כי אין תפקידן לשמש אותו, כנ"ל, </w:t>
      </w:r>
      <w:r w:rsidRPr="00F23CAB">
        <w:rPr>
          <w:rFonts w:hint="cs"/>
          <w:rtl/>
        </w:rPr>
        <w:lastRenderedPageBreak/>
        <w:t>והכל נועד רק לשמש את אשתו ולפעול בהתאם לדעתה בלבד, כלימוד חז"ל</w:t>
      </w:r>
      <w:r w:rsidRPr="008636EE">
        <w:rPr>
          <w:rStyle w:val="a3"/>
          <w:rtl/>
        </w:rPr>
        <w:endnoteReference w:id="26"/>
      </w:r>
      <w:r w:rsidRPr="00F23CAB">
        <w:rPr>
          <w:rFonts w:hint="cs"/>
          <w:rtl/>
        </w:rPr>
        <w:t xml:space="preserve"> מהפסוק "גם בלא דעת נפש לא טוב ואץ ברגלים חוטא"</w:t>
      </w:r>
      <w:r w:rsidRPr="008636EE">
        <w:rPr>
          <w:rStyle w:val="a3"/>
          <w:rtl/>
        </w:rPr>
        <w:endnoteReference w:id="27"/>
      </w:r>
      <w:r w:rsidRPr="00F23CAB">
        <w:rPr>
          <w:rFonts w:hint="cs"/>
          <w:rtl/>
        </w:rPr>
        <w:t xml:space="preserve"> ("</w:t>
      </w:r>
      <w:r w:rsidRPr="00D91656">
        <w:rPr>
          <w:rStyle w:val="a4"/>
          <w:rFonts w:hint="cs"/>
          <w:rtl/>
        </w:rPr>
        <w:t>חוטא</w:t>
      </w:r>
      <w:r w:rsidRPr="00F23CAB">
        <w:rPr>
          <w:rFonts w:hint="cs"/>
          <w:rtl/>
        </w:rPr>
        <w:t>" היינו היפך "</w:t>
      </w:r>
      <w:r w:rsidRPr="00D91656">
        <w:rPr>
          <w:rStyle w:val="a4"/>
          <w:rFonts w:hint="cs"/>
          <w:rtl/>
        </w:rPr>
        <w:t>החוט</w:t>
      </w:r>
      <w:r w:rsidRPr="00F23CAB">
        <w:rPr>
          <w:rFonts w:hint="cs"/>
          <w:rtl/>
        </w:rPr>
        <w:t xml:space="preserve"> המש</w:t>
      </w:r>
      <w:r>
        <w:rPr>
          <w:rFonts w:hint="eastAsia"/>
          <w:rtl/>
        </w:rPr>
        <w:t>ֻ</w:t>
      </w:r>
      <w:r w:rsidRPr="00F23CAB">
        <w:rPr>
          <w:rFonts w:hint="cs"/>
          <w:rtl/>
        </w:rPr>
        <w:t>לש"</w:t>
      </w:r>
      <w:r w:rsidRPr="008636EE">
        <w:rPr>
          <w:rStyle w:val="a3"/>
          <w:rtl/>
        </w:rPr>
        <w:endnoteReference w:id="28"/>
      </w:r>
      <w:r w:rsidRPr="00F23CAB">
        <w:rPr>
          <w:rFonts w:hint="cs"/>
          <w:rtl/>
        </w:rPr>
        <w:t xml:space="preserve"> ב"שלשה שותפים באדם"</w:t>
      </w:r>
      <w:r w:rsidRPr="008636EE">
        <w:rPr>
          <w:rStyle w:val="a3"/>
          <w:rtl/>
        </w:rPr>
        <w:endnoteReference w:id="29"/>
      </w:r>
      <w:r w:rsidRPr="00F23CAB">
        <w:rPr>
          <w:rFonts w:hint="cs"/>
          <w:rtl/>
        </w:rPr>
        <w:t xml:space="preserve"> כאשר "שכינה ביניהן"</w:t>
      </w:r>
      <w:r w:rsidRPr="008636EE">
        <w:rPr>
          <w:rStyle w:val="a3"/>
          <w:rtl/>
        </w:rPr>
        <w:endnoteReference w:id="30"/>
      </w:r>
      <w:r w:rsidRPr="00F23CAB">
        <w:rPr>
          <w:rFonts w:hint="cs"/>
          <w:rtl/>
        </w:rPr>
        <w:t>), ודוק.]</w:t>
      </w:r>
    </w:p>
    <w:p w:rsidR="00B0560B" w:rsidRDefault="00B0560B" w:rsidP="00B0560B">
      <w:pPr>
        <w:rPr>
          <w:rFonts w:hint="cs"/>
          <w:rtl/>
        </w:rPr>
      </w:pPr>
      <w:r>
        <w:rPr>
          <w:rFonts w:hint="cs"/>
          <w:rtl/>
        </w:rPr>
        <w:t xml:space="preserve">החזרה לאורות המרובים דתהו היא בעצם 'שחיה נגד הזרם', בחזרה מריבוי הכלים שבבינה אל האורות המרובים שבכתר (וכד דייקינן טפי, בסיום לא מצוינת הגבלת הקילוח "בכאיסר", היינו שהחזרה אינה רק לחכמה הראשונה אלא עד לכתר שקדם לו). השחיה נגד הזרם היא התוקף העצמי של עם ישראל, השוחה 'נגד הזרם' של השתלשלות המציאות כולה </w:t>
      </w:r>
      <w:r>
        <w:rPr>
          <w:rtl/>
        </w:rPr>
        <w:t>–</w:t>
      </w:r>
      <w:r>
        <w:rPr>
          <w:rFonts w:hint="cs"/>
          <w:rtl/>
        </w:rPr>
        <w:t xml:space="preserve"> בתחלה 'לאט אבל בטוח', בתוקף הבטול שלו (תכונת החכמה שבנשמות ישראל), ובסוף במהירות רבה, בגילוי אור הכתר (והנה, בתכונה עצמית זו של עם ישראל, ש"כֻלֹה זרע אמת"</w:t>
      </w:r>
      <w:r w:rsidRPr="008636EE">
        <w:rPr>
          <w:rStyle w:val="a3"/>
          <w:rtl/>
        </w:rPr>
        <w:endnoteReference w:id="31"/>
      </w:r>
      <w:r>
        <w:rPr>
          <w:rFonts w:hint="cs"/>
          <w:rtl/>
        </w:rPr>
        <w:t xml:space="preserve"> ו"זרע קדש"</w:t>
      </w:r>
      <w:r w:rsidRPr="008636EE">
        <w:rPr>
          <w:rStyle w:val="a3"/>
          <w:rtl/>
        </w:rPr>
        <w:endnoteReference w:id="32"/>
      </w:r>
      <w:r>
        <w:rPr>
          <w:rFonts w:hint="cs"/>
          <w:rtl/>
        </w:rPr>
        <w:t>, תלוי כח הפוריות של הזרע, שעליו 'לשחות נגד הזרם' כדי להגיע להפריה, כנודע).</w:t>
      </w:r>
    </w:p>
    <w:p w:rsidR="00B0560B" w:rsidRDefault="00B0560B" w:rsidP="00B0560B">
      <w:pPr>
        <w:rPr>
          <w:rFonts w:hint="cs"/>
          <w:rtl/>
        </w:rPr>
      </w:pPr>
      <w:r>
        <w:rPr>
          <w:rFonts w:hint="cs"/>
          <w:rtl/>
        </w:rPr>
        <w:t>[ולהשלמת התמונה בסוד "אהיה אשר אהיה": "אהיה אשר אהיה" היינו "'אהיה' עמם בצרה זו 'אשר אהיה' עמם בשאר גלויות"</w:t>
      </w:r>
      <w:r w:rsidRPr="008636EE">
        <w:rPr>
          <w:rStyle w:val="a3"/>
          <w:rtl/>
        </w:rPr>
        <w:endnoteReference w:id="33"/>
      </w:r>
      <w:r>
        <w:rPr>
          <w:rFonts w:hint="cs"/>
          <w:rtl/>
        </w:rPr>
        <w:t>. יציאת מצרים נעשתה ברגע אחד, בקילוח כאיסר, ואילו ביאת המשיח נבנית לאורך כל ההיסטוריה, בריבוי כלים ובאופן איטי. אכן, כפי שצוין, בסופו של דבר דורשת ביאת המשיח בפועל קילוח מהיר של אורות מרובים דתהו, כפשוטו של הפסוק "בעתה אחישנה"</w:t>
      </w:r>
      <w:r w:rsidRPr="008636EE">
        <w:rPr>
          <w:rStyle w:val="a3"/>
          <w:rtl/>
        </w:rPr>
        <w:endnoteReference w:id="34"/>
      </w:r>
      <w:r>
        <w:rPr>
          <w:rFonts w:hint="cs"/>
          <w:rtl/>
        </w:rPr>
        <w:t xml:space="preserve"> שכאשר מגיע עת הגאולה הדברים מתרחשים במהירות רבה</w:t>
      </w:r>
      <w:r w:rsidRPr="008636EE">
        <w:rPr>
          <w:rStyle w:val="a3"/>
          <w:rtl/>
        </w:rPr>
        <w:endnoteReference w:id="35"/>
      </w:r>
      <w:r>
        <w:rPr>
          <w:rFonts w:hint="cs"/>
          <w:rtl/>
        </w:rPr>
        <w:t xml:space="preserve">. </w:t>
      </w:r>
    </w:p>
    <w:p w:rsidR="00B0560B" w:rsidRDefault="00B0560B" w:rsidP="00B0560B">
      <w:pPr>
        <w:rPr>
          <w:rFonts w:hint="cs"/>
          <w:rtl/>
        </w:rPr>
      </w:pPr>
      <w:r>
        <w:rPr>
          <w:rFonts w:hint="cs"/>
          <w:rtl/>
        </w:rPr>
        <w:t>אצל משה רבינו כ"גואל ראשון" התהליך של "אהיה אשר אהיה" נתפס כזרימה מגלות מצרים להמשך הגלויות, עד שהוא לא רוצה להזכירו לעם ישראל</w:t>
      </w:r>
      <w:r w:rsidRPr="008636EE">
        <w:rPr>
          <w:rStyle w:val="a3"/>
          <w:rtl/>
        </w:rPr>
        <w:endnoteReference w:id="36"/>
      </w:r>
      <w:r>
        <w:rPr>
          <w:rFonts w:hint="cs"/>
          <w:rtl/>
        </w:rPr>
        <w:t xml:space="preserve">. גם באופן אישי, מיעוט האורות וריבוי הכלים (החל מ"מן המים </w:t>
      </w:r>
      <w:r w:rsidRPr="001C3A8B">
        <w:rPr>
          <w:rFonts w:hint="cs"/>
          <w:b/>
          <w:bCs/>
          <w:sz w:val="28"/>
          <w:szCs w:val="28"/>
          <w:rtl/>
        </w:rPr>
        <w:t>משיתהו</w:t>
      </w:r>
      <w:r>
        <w:rPr>
          <w:rFonts w:hint="cs"/>
          <w:rtl/>
        </w:rPr>
        <w:t>"</w:t>
      </w:r>
      <w:r w:rsidRPr="008636EE">
        <w:rPr>
          <w:rStyle w:val="a3"/>
          <w:rtl/>
        </w:rPr>
        <w:endnoteReference w:id="37"/>
      </w:r>
      <w:r>
        <w:rPr>
          <w:rFonts w:hint="cs"/>
          <w:rtl/>
        </w:rPr>
        <w:t>, מבחינת "</w:t>
      </w:r>
      <w:r w:rsidRPr="001C3A8B">
        <w:rPr>
          <w:rFonts w:hint="cs"/>
          <w:b/>
          <w:bCs/>
          <w:sz w:val="28"/>
          <w:szCs w:val="28"/>
          <w:rtl/>
        </w:rPr>
        <w:t>שמי</w:t>
      </w:r>
      <w:r>
        <w:rPr>
          <w:rFonts w:hint="cs"/>
          <w:rtl/>
        </w:rPr>
        <w:t xml:space="preserve"> </w:t>
      </w:r>
      <w:r w:rsidRPr="001C3A8B">
        <w:rPr>
          <w:rFonts w:hint="cs"/>
          <w:b/>
          <w:bCs/>
          <w:sz w:val="28"/>
          <w:szCs w:val="28"/>
          <w:rtl/>
        </w:rPr>
        <w:t>תהו</w:t>
      </w:r>
      <w:r>
        <w:rPr>
          <w:rFonts w:hint="cs"/>
          <w:rtl/>
        </w:rPr>
        <w:t>"</w:t>
      </w:r>
      <w:r w:rsidRPr="008636EE">
        <w:rPr>
          <w:rStyle w:val="a3"/>
          <w:rtl/>
        </w:rPr>
        <w:endnoteReference w:id="38"/>
      </w:r>
      <w:r>
        <w:rPr>
          <w:rFonts w:hint="cs"/>
          <w:rtl/>
        </w:rPr>
        <w:t xml:space="preserve"> דרך מי החכמה</w:t>
      </w:r>
      <w:r w:rsidRPr="008636EE">
        <w:rPr>
          <w:rStyle w:val="a3"/>
          <w:rtl/>
        </w:rPr>
        <w:endnoteReference w:id="39"/>
      </w:r>
      <w:r>
        <w:rPr>
          <w:rFonts w:hint="cs"/>
          <w:rtl/>
        </w:rPr>
        <w:t>, עד ל"משה זכה לבינה"</w:t>
      </w:r>
      <w:r w:rsidRPr="008636EE">
        <w:rPr>
          <w:rStyle w:val="a3"/>
          <w:rtl/>
        </w:rPr>
        <w:endnoteReference w:id="40"/>
      </w:r>
      <w:r>
        <w:rPr>
          <w:rFonts w:hint="cs"/>
          <w:rtl/>
        </w:rPr>
        <w:t>) מתבטא אצלו בפרישה מן האשה הגשמית. לעומתו אצל המשיח (עליו אמר משה "שלח נא ביד תשלח"</w:t>
      </w:r>
      <w:r w:rsidRPr="008636EE">
        <w:rPr>
          <w:rStyle w:val="a3"/>
          <w:rtl/>
        </w:rPr>
        <w:endnoteReference w:id="41"/>
      </w:r>
      <w:r>
        <w:rPr>
          <w:rFonts w:hint="cs"/>
          <w:rtl/>
        </w:rPr>
        <w:t xml:space="preserve"> בתגובה ל"אהיה אשר אהיה") יש חזרה ב'זרם' של "אהיה אשר אהיה"</w:t>
      </w:r>
      <w:r>
        <w:rPr>
          <w:rFonts w:hint="cs"/>
        </w:rPr>
        <w:t xml:space="preserve"> </w:t>
      </w:r>
      <w:r>
        <w:rPr>
          <w:rFonts w:hint="cs"/>
          <w:rtl/>
        </w:rPr>
        <w:t>אל ההתלהבות הראשונה, וגם בממד האישי המשיח (שיודע שבכך תלוי סוד ביאתו) לא עתיד לפרוש מן האשה</w:t>
      </w:r>
      <w:r w:rsidRPr="008636EE">
        <w:rPr>
          <w:rStyle w:val="a3"/>
          <w:rtl/>
        </w:rPr>
        <w:endnoteReference w:id="42"/>
      </w:r>
      <w:r>
        <w:rPr>
          <w:rFonts w:hint="cs"/>
          <w:rtl/>
        </w:rPr>
        <w:t xml:space="preserve">. </w:t>
      </w:r>
    </w:p>
    <w:p w:rsidR="00B0560B" w:rsidRPr="00F23CAB" w:rsidRDefault="00B0560B" w:rsidP="00B0560B">
      <w:pPr>
        <w:rPr>
          <w:rFonts w:hint="cs"/>
          <w:rtl/>
        </w:rPr>
      </w:pPr>
      <w:r w:rsidRPr="00F23CAB">
        <w:rPr>
          <w:rFonts w:hint="cs"/>
          <w:rtl/>
        </w:rPr>
        <w:lastRenderedPageBreak/>
        <w:t>אמנם, דווקא בחזרה 'נגד הזרם' של המשיח הוא חוזר למקורו ומגלה כי אליבא דאמת "הוא גואל ראשון והוא גואל אחרון"</w:t>
      </w:r>
      <w:r w:rsidRPr="008636EE">
        <w:rPr>
          <w:rStyle w:val="a3"/>
          <w:rtl/>
        </w:rPr>
        <w:endnoteReference w:id="43"/>
      </w:r>
      <w:r w:rsidRPr="00F23CAB">
        <w:rPr>
          <w:rFonts w:hint="cs"/>
          <w:rtl/>
        </w:rPr>
        <w:t xml:space="preserve"> (וכן כשחוזרים 'נגד הזרם' בגימטריא של "</w:t>
      </w:r>
      <w:r w:rsidRPr="00F23CAB">
        <w:rPr>
          <w:rFonts w:hint="cs"/>
          <w:b/>
          <w:bCs/>
          <w:sz w:val="28"/>
          <w:szCs w:val="28"/>
          <w:rtl/>
        </w:rPr>
        <w:t>אהיה</w:t>
      </w:r>
      <w:r w:rsidRPr="00F23CAB">
        <w:rPr>
          <w:rFonts w:hint="cs"/>
          <w:rtl/>
        </w:rPr>
        <w:t xml:space="preserve"> </w:t>
      </w:r>
      <w:r w:rsidRPr="00F23CAB">
        <w:rPr>
          <w:rFonts w:hint="cs"/>
          <w:b/>
          <w:bCs/>
          <w:sz w:val="28"/>
          <w:szCs w:val="28"/>
          <w:rtl/>
        </w:rPr>
        <w:t>אשר</w:t>
      </w:r>
      <w:r w:rsidRPr="00F23CAB">
        <w:rPr>
          <w:rFonts w:hint="cs"/>
          <w:rtl/>
        </w:rPr>
        <w:t xml:space="preserve"> </w:t>
      </w:r>
      <w:r w:rsidRPr="00F23CAB">
        <w:rPr>
          <w:rFonts w:hint="cs"/>
          <w:b/>
          <w:bCs/>
          <w:sz w:val="28"/>
          <w:szCs w:val="28"/>
          <w:rtl/>
        </w:rPr>
        <w:t>אהיה</w:t>
      </w:r>
      <w:r w:rsidRPr="00F23CAB">
        <w:rPr>
          <w:rFonts w:hint="cs"/>
          <w:rtl/>
        </w:rPr>
        <w:t xml:space="preserve">", 543, מתקבל המספר ההפוך, 345, העולה </w:t>
      </w:r>
      <w:r w:rsidRPr="00F23CAB">
        <w:rPr>
          <w:rFonts w:hint="cs"/>
          <w:b/>
          <w:bCs/>
          <w:sz w:val="28"/>
          <w:szCs w:val="28"/>
          <w:rtl/>
        </w:rPr>
        <w:t>משה</w:t>
      </w:r>
      <w:r w:rsidRPr="00F23CAB">
        <w:rPr>
          <w:rFonts w:hint="cs"/>
          <w:rtl/>
        </w:rPr>
        <w:t>!). ו'צימוק' נוסף בענין ההתקשרות למשה: בדילוג של שלש אותיות ב"</w:t>
      </w:r>
      <w:r w:rsidRPr="00F23CAB">
        <w:rPr>
          <w:rFonts w:hint="cs"/>
          <w:b/>
          <w:bCs/>
          <w:sz w:val="28"/>
          <w:szCs w:val="28"/>
          <w:rtl/>
        </w:rPr>
        <w:t>מ</w:t>
      </w:r>
      <w:r w:rsidRPr="00F23CAB">
        <w:rPr>
          <w:rFonts w:hint="cs"/>
          <w:rtl/>
        </w:rPr>
        <w:t>י ה</w:t>
      </w:r>
      <w:r w:rsidRPr="00F23CAB">
        <w:rPr>
          <w:rFonts w:hint="cs"/>
          <w:b/>
          <w:bCs/>
          <w:sz w:val="28"/>
          <w:szCs w:val="28"/>
          <w:rtl/>
        </w:rPr>
        <w:t>ש</w:t>
      </w:r>
      <w:r w:rsidRPr="00F23CAB">
        <w:rPr>
          <w:rFonts w:hint="cs"/>
          <w:rtl/>
        </w:rPr>
        <w:t xml:space="preserve">לח </w:t>
      </w:r>
      <w:r w:rsidRPr="00F23CAB">
        <w:rPr>
          <w:rFonts w:hint="cs"/>
          <w:b/>
          <w:bCs/>
          <w:sz w:val="28"/>
          <w:szCs w:val="28"/>
          <w:rtl/>
        </w:rPr>
        <w:t>ה</w:t>
      </w:r>
      <w:r w:rsidRPr="00F23CAB">
        <w:rPr>
          <w:rFonts w:hint="cs"/>
          <w:rtl/>
        </w:rPr>
        <w:t>הל</w:t>
      </w:r>
      <w:r w:rsidRPr="00F23CAB">
        <w:rPr>
          <w:rFonts w:hint="cs"/>
          <w:b/>
          <w:bCs/>
          <w:sz w:val="28"/>
          <w:szCs w:val="28"/>
          <w:rtl/>
        </w:rPr>
        <w:t>כ</w:t>
      </w:r>
      <w:r w:rsidRPr="00F23CAB">
        <w:rPr>
          <w:rFonts w:hint="cs"/>
          <w:rtl/>
        </w:rPr>
        <w:t xml:space="preserve">ים </w:t>
      </w:r>
      <w:r w:rsidRPr="00F23CAB">
        <w:rPr>
          <w:rFonts w:hint="cs"/>
          <w:b/>
          <w:bCs/>
          <w:sz w:val="28"/>
          <w:szCs w:val="28"/>
          <w:rtl/>
        </w:rPr>
        <w:t>ל</w:t>
      </w:r>
      <w:r w:rsidRPr="00F23CAB">
        <w:rPr>
          <w:rFonts w:hint="cs"/>
          <w:rtl/>
        </w:rPr>
        <w:t xml:space="preserve">אט" מתקבלות המילים </w:t>
      </w:r>
      <w:r w:rsidRPr="00F23CAB">
        <w:rPr>
          <w:rFonts w:hint="cs"/>
          <w:b/>
          <w:bCs/>
          <w:sz w:val="28"/>
          <w:szCs w:val="28"/>
          <w:rtl/>
        </w:rPr>
        <w:t>משה</w:t>
      </w:r>
      <w:r w:rsidRPr="00F23CAB">
        <w:rPr>
          <w:rFonts w:hint="cs"/>
          <w:rtl/>
        </w:rPr>
        <w:t>-</w:t>
      </w:r>
      <w:r w:rsidRPr="00F23CAB">
        <w:rPr>
          <w:rFonts w:hint="cs"/>
          <w:b/>
          <w:bCs/>
          <w:sz w:val="28"/>
          <w:szCs w:val="28"/>
          <w:rtl/>
        </w:rPr>
        <w:t>כל</w:t>
      </w:r>
      <w:r w:rsidRPr="00F23CAB">
        <w:rPr>
          <w:rFonts w:hint="cs"/>
          <w:rtl/>
        </w:rPr>
        <w:t>, בסוד "הנשיא הוא ה</w:t>
      </w:r>
      <w:r w:rsidRPr="00F23CAB">
        <w:rPr>
          <w:rFonts w:hint="cs"/>
          <w:b/>
          <w:bCs/>
          <w:sz w:val="28"/>
          <w:szCs w:val="28"/>
          <w:rtl/>
        </w:rPr>
        <w:t>כל</w:t>
      </w:r>
      <w:r w:rsidRPr="00F23CAB">
        <w:rPr>
          <w:rFonts w:hint="cs"/>
          <w:rtl/>
        </w:rPr>
        <w:t xml:space="preserve">" האמור לגבי </w:t>
      </w:r>
      <w:r w:rsidRPr="00F23CAB">
        <w:rPr>
          <w:rFonts w:hint="cs"/>
          <w:b/>
          <w:bCs/>
          <w:sz w:val="28"/>
          <w:szCs w:val="28"/>
          <w:rtl/>
        </w:rPr>
        <w:t>משה</w:t>
      </w:r>
      <w:r w:rsidRPr="008636EE">
        <w:rPr>
          <w:rStyle w:val="a3"/>
          <w:rtl/>
        </w:rPr>
        <w:endnoteReference w:id="44"/>
      </w:r>
      <w:r w:rsidRPr="00F23CAB">
        <w:rPr>
          <w:rFonts w:hint="cs"/>
          <w:rtl/>
        </w:rPr>
        <w:t xml:space="preserve">, בהיותו נשמה כללית (דילוג זה חוזר עד אין סוף, בסוד "אתפשטותא דמשה בכל דרא ודרא", ושאר האותיות עולות </w:t>
      </w:r>
      <w:r w:rsidRPr="00F23CAB">
        <w:rPr>
          <w:rFonts w:hint="cs"/>
          <w:b/>
          <w:bCs/>
          <w:sz w:val="28"/>
          <w:szCs w:val="28"/>
          <w:rtl/>
        </w:rPr>
        <w:t>נצח</w:t>
      </w:r>
      <w:r w:rsidRPr="00F23CAB">
        <w:rPr>
          <w:rFonts w:hint="cs"/>
          <w:rtl/>
        </w:rPr>
        <w:t>, מדתו של משה). כדי לזכות ל"מי השלח ההלכים לאט" יש לצייר את ה</w:t>
      </w:r>
      <w:r w:rsidRPr="00F23CAB">
        <w:rPr>
          <w:rFonts w:hint="cs"/>
          <w:b/>
          <w:bCs/>
          <w:sz w:val="28"/>
          <w:szCs w:val="28"/>
          <w:rtl/>
        </w:rPr>
        <w:t>משה</w:t>
      </w:r>
      <w:r w:rsidRPr="00F23CAB">
        <w:rPr>
          <w:rFonts w:hint="cs"/>
          <w:rtl/>
        </w:rPr>
        <w:t xml:space="preserve"> שב</w:t>
      </w:r>
      <w:r w:rsidRPr="00F23CAB">
        <w:rPr>
          <w:rFonts w:hint="cs"/>
          <w:b/>
          <w:bCs/>
          <w:sz w:val="28"/>
          <w:szCs w:val="28"/>
          <w:rtl/>
        </w:rPr>
        <w:t>כל</w:t>
      </w:r>
      <w:r w:rsidRPr="00F23CAB">
        <w:rPr>
          <w:rFonts w:hint="cs"/>
          <w:rtl/>
        </w:rPr>
        <w:t xml:space="preserve"> דור בשעת הזיווג</w:t>
      </w:r>
      <w:r w:rsidRPr="008636EE">
        <w:rPr>
          <w:rStyle w:val="a3"/>
          <w:rtl/>
        </w:rPr>
        <w:endnoteReference w:id="45"/>
      </w:r>
      <w:r w:rsidRPr="00F23CAB">
        <w:rPr>
          <w:rFonts w:hint="cs"/>
          <w:rtl/>
        </w:rPr>
        <w:t xml:space="preserve">, ובכך זוכים לברכת "לא תהיה </w:t>
      </w:r>
      <w:r w:rsidRPr="00F23CAB">
        <w:rPr>
          <w:rFonts w:hint="cs"/>
          <w:b/>
          <w:bCs/>
          <w:sz w:val="28"/>
          <w:szCs w:val="28"/>
          <w:rtl/>
        </w:rPr>
        <w:t>משכלה</w:t>
      </w:r>
      <w:r w:rsidRPr="00F23CAB">
        <w:rPr>
          <w:rFonts w:hint="cs"/>
          <w:rtl/>
        </w:rPr>
        <w:t xml:space="preserve"> בארצך"</w:t>
      </w:r>
      <w:r w:rsidRPr="008636EE">
        <w:rPr>
          <w:rStyle w:val="a3"/>
          <w:rtl/>
        </w:rPr>
        <w:endnoteReference w:id="46"/>
      </w:r>
      <w:r w:rsidRPr="00F23CAB">
        <w:rPr>
          <w:rFonts w:hint="cs"/>
          <w:rtl/>
        </w:rPr>
        <w:t>.]</w:t>
      </w:r>
    </w:p>
    <w:p w:rsidR="005F4A47" w:rsidRDefault="00C1019E">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9E" w:rsidRDefault="00C1019E" w:rsidP="00B0560B">
      <w:pPr>
        <w:spacing w:after="0" w:line="240" w:lineRule="auto"/>
      </w:pPr>
      <w:r>
        <w:separator/>
      </w:r>
    </w:p>
  </w:endnote>
  <w:endnote w:type="continuationSeparator" w:id="0">
    <w:p w:rsidR="00C1019E" w:rsidRDefault="00C1019E" w:rsidP="00B0560B">
      <w:pPr>
        <w:spacing w:after="0" w:line="240" w:lineRule="auto"/>
      </w:pPr>
      <w:r>
        <w:continuationSeparator/>
      </w:r>
    </w:p>
  </w:endnote>
  <w:endnote w:id="1">
    <w:p w:rsidR="00B0560B" w:rsidRDefault="00B0560B" w:rsidP="00B0560B">
      <w:pPr>
        <w:pStyle w:val="a5"/>
        <w:rPr>
          <w:rFonts w:hint="cs"/>
        </w:rPr>
      </w:pPr>
      <w:r>
        <w:rPr>
          <w:rtl/>
        </w:rPr>
        <w:tab/>
      </w:r>
      <w:r w:rsidRPr="00944A81">
        <w:rPr>
          <w:rtl/>
        </w:rPr>
        <w:endnoteRef/>
      </w:r>
      <w:r>
        <w:rPr>
          <w:rtl/>
        </w:rPr>
        <w:t>.</w:t>
      </w:r>
      <w:r>
        <w:rPr>
          <w:rtl/>
        </w:rPr>
        <w:tab/>
      </w:r>
      <w:r>
        <w:rPr>
          <w:rFonts w:hint="cs"/>
          <w:rtl/>
        </w:rPr>
        <w:t>ישעיה ח, ו.</w:t>
      </w:r>
    </w:p>
  </w:endnote>
  <w:endnote w:id="2">
    <w:p w:rsidR="00B0560B" w:rsidRDefault="00B0560B" w:rsidP="00B0560B">
      <w:pPr>
        <w:pStyle w:val="a5"/>
        <w:rPr>
          <w:rFonts w:hint="cs"/>
          <w:rtl/>
        </w:rPr>
      </w:pPr>
      <w:r>
        <w:rPr>
          <w:rtl/>
        </w:rPr>
        <w:tab/>
      </w:r>
      <w:r w:rsidRPr="00944A81">
        <w:rPr>
          <w:rtl/>
        </w:rPr>
        <w:endnoteRef/>
      </w:r>
      <w:r>
        <w:rPr>
          <w:rtl/>
        </w:rPr>
        <w:t>.</w:t>
      </w:r>
      <w:r>
        <w:rPr>
          <w:rtl/>
        </w:rPr>
        <w:tab/>
      </w:r>
      <w:r>
        <w:rPr>
          <w:rFonts w:hint="cs"/>
          <w:rtl/>
        </w:rPr>
        <w:t>כמבואר באורך בשכינה ביניהם פ"ז (עמ' קעו).</w:t>
      </w:r>
    </w:p>
  </w:endnote>
  <w:endnote w:id="3">
    <w:p w:rsidR="00B0560B" w:rsidRDefault="00B0560B" w:rsidP="00B0560B">
      <w:pPr>
        <w:pStyle w:val="a5"/>
        <w:rPr>
          <w:rFonts w:hint="cs"/>
          <w:rtl/>
        </w:rPr>
      </w:pPr>
      <w:r>
        <w:rPr>
          <w:rtl/>
        </w:rPr>
        <w:tab/>
      </w:r>
      <w:r w:rsidRPr="00944A81">
        <w:rPr>
          <w:rtl/>
        </w:rPr>
        <w:endnoteRef/>
      </w:r>
      <w:r>
        <w:rPr>
          <w:rtl/>
        </w:rPr>
        <w:t>.</w:t>
      </w:r>
      <w:r>
        <w:rPr>
          <w:rtl/>
        </w:rPr>
        <w:tab/>
      </w:r>
      <w:r>
        <w:rPr>
          <w:rFonts w:hint="cs"/>
          <w:rtl/>
        </w:rPr>
        <w:t>ירמיה ט, כב.</w:t>
      </w:r>
    </w:p>
  </w:endnote>
  <w:endnote w:id="4">
    <w:p w:rsidR="00B0560B" w:rsidRDefault="00B0560B" w:rsidP="00B0560B">
      <w:pPr>
        <w:pStyle w:val="a5"/>
        <w:rPr>
          <w:rFonts w:hint="cs"/>
          <w:rtl/>
        </w:rPr>
      </w:pPr>
      <w:r>
        <w:rPr>
          <w:rtl/>
        </w:rPr>
        <w:tab/>
      </w:r>
      <w:r w:rsidRPr="00944A81">
        <w:rPr>
          <w:rtl/>
        </w:rPr>
        <w:endnoteRef/>
      </w:r>
      <w:r>
        <w:rPr>
          <w:rtl/>
        </w:rPr>
        <w:t>.</w:t>
      </w:r>
      <w:r>
        <w:rPr>
          <w:rtl/>
        </w:rPr>
        <w:tab/>
      </w:r>
      <w:r>
        <w:rPr>
          <w:rFonts w:hint="cs"/>
          <w:rtl/>
        </w:rPr>
        <w:t>ערכין י, ב.</w:t>
      </w:r>
    </w:p>
  </w:endnote>
  <w:endnote w:id="5">
    <w:p w:rsidR="00B0560B" w:rsidRDefault="00B0560B" w:rsidP="00B0560B">
      <w:pPr>
        <w:pStyle w:val="a5"/>
        <w:rPr>
          <w:rFonts w:hint="cs"/>
        </w:rPr>
      </w:pPr>
      <w:r>
        <w:rPr>
          <w:rtl/>
        </w:rPr>
        <w:tab/>
      </w:r>
      <w:r w:rsidRPr="00944A81">
        <w:rPr>
          <w:rtl/>
        </w:rPr>
        <w:endnoteRef/>
      </w:r>
      <w:r>
        <w:rPr>
          <w:rtl/>
        </w:rPr>
        <w:t>.</w:t>
      </w:r>
      <w:r>
        <w:rPr>
          <w:rtl/>
        </w:rPr>
        <w:tab/>
      </w:r>
      <w:r>
        <w:rPr>
          <w:rFonts w:hint="cs"/>
          <w:rtl/>
        </w:rPr>
        <w:t>יהל אור פט, א סעיף יא. המשך "בשעה שהקדימו" תער"ב פל"ד.</w:t>
      </w:r>
    </w:p>
  </w:endnote>
  <w:endnote w:id="6">
    <w:p w:rsidR="00B0560B" w:rsidRDefault="00B0560B" w:rsidP="00B0560B">
      <w:pPr>
        <w:pStyle w:val="a5"/>
        <w:rPr>
          <w:rFonts w:hint="cs"/>
          <w:rtl/>
        </w:rPr>
      </w:pPr>
      <w:r>
        <w:rPr>
          <w:rtl/>
        </w:rPr>
        <w:tab/>
      </w:r>
      <w:r w:rsidRPr="00944A81">
        <w:rPr>
          <w:rtl/>
        </w:rPr>
        <w:endnoteRef/>
      </w:r>
      <w:r>
        <w:rPr>
          <w:rtl/>
        </w:rPr>
        <w:t>.</w:t>
      </w:r>
      <w:r>
        <w:rPr>
          <w:rtl/>
        </w:rPr>
        <w:tab/>
      </w:r>
      <w:r>
        <w:rPr>
          <w:rFonts w:hint="cs"/>
          <w:rtl/>
        </w:rPr>
        <w:t>עץ חיים שמ"ב פ"א (מ"ב) ובכ"ד.</w:t>
      </w:r>
    </w:p>
  </w:endnote>
  <w:endnote w:id="7">
    <w:p w:rsidR="00B0560B" w:rsidRDefault="00B0560B" w:rsidP="00B0560B">
      <w:pPr>
        <w:pStyle w:val="a5"/>
        <w:rPr>
          <w:rFonts w:hint="cs"/>
        </w:rPr>
      </w:pPr>
      <w:r>
        <w:rPr>
          <w:rtl/>
        </w:rPr>
        <w:tab/>
      </w:r>
      <w:r w:rsidRPr="00944A81">
        <w:rPr>
          <w:rtl/>
        </w:rPr>
        <w:endnoteRef/>
      </w:r>
      <w:r>
        <w:rPr>
          <w:rtl/>
        </w:rPr>
        <w:t>.</w:t>
      </w:r>
      <w:r>
        <w:rPr>
          <w:rtl/>
        </w:rPr>
        <w:tab/>
      </w:r>
      <w:r>
        <w:rPr>
          <w:rFonts w:hint="cs"/>
          <w:rtl/>
        </w:rPr>
        <w:t>ראה תורה אור לך לך יג, ב ובכ"ד.</w:t>
      </w:r>
    </w:p>
  </w:endnote>
  <w:endnote w:id="8">
    <w:p w:rsidR="00B0560B" w:rsidRDefault="00B0560B" w:rsidP="00B0560B">
      <w:pPr>
        <w:pStyle w:val="a5"/>
        <w:rPr>
          <w:rFonts w:hint="cs"/>
          <w:rtl/>
        </w:rPr>
      </w:pPr>
      <w:r>
        <w:rPr>
          <w:rtl/>
        </w:rPr>
        <w:tab/>
      </w:r>
      <w:r w:rsidRPr="00944A81">
        <w:rPr>
          <w:rtl/>
        </w:rPr>
        <w:endnoteRef/>
      </w:r>
      <w:r>
        <w:rPr>
          <w:rtl/>
        </w:rPr>
        <w:t>.</w:t>
      </w:r>
      <w:r>
        <w:rPr>
          <w:rtl/>
        </w:rPr>
        <w:tab/>
      </w:r>
      <w:r>
        <w:rPr>
          <w:rFonts w:hint="cs"/>
          <w:rtl/>
        </w:rPr>
        <w:t>בראשית לו, לז. וראה אגרת הקדש טו.</w:t>
      </w:r>
    </w:p>
  </w:endnote>
  <w:endnote w:id="9">
    <w:p w:rsidR="00B0560B" w:rsidRDefault="00B0560B" w:rsidP="00B0560B">
      <w:pPr>
        <w:pStyle w:val="a5"/>
        <w:rPr>
          <w:rFonts w:hint="cs"/>
          <w:rtl/>
        </w:rPr>
      </w:pPr>
      <w:r>
        <w:rPr>
          <w:rtl/>
        </w:rPr>
        <w:tab/>
      </w:r>
      <w:r w:rsidRPr="00944A81">
        <w:rPr>
          <w:rtl/>
        </w:rPr>
        <w:endnoteRef/>
      </w:r>
      <w:r>
        <w:rPr>
          <w:rtl/>
        </w:rPr>
        <w:t>.</w:t>
      </w:r>
      <w:r>
        <w:rPr>
          <w:rtl/>
        </w:rPr>
        <w:tab/>
      </w:r>
      <w:r>
        <w:rPr>
          <w:rFonts w:hint="cs"/>
          <w:rtl/>
        </w:rPr>
        <w:t>שמות ג, יד. ראה גם שכינה ביניהם שם.</w:t>
      </w:r>
    </w:p>
  </w:endnote>
  <w:endnote w:id="10">
    <w:p w:rsidR="00B0560B" w:rsidRDefault="00B0560B" w:rsidP="00B0560B">
      <w:pPr>
        <w:pStyle w:val="a5"/>
        <w:rPr>
          <w:rFonts w:hint="cs"/>
          <w:rtl/>
        </w:rPr>
      </w:pPr>
      <w:r>
        <w:rPr>
          <w:rtl/>
        </w:rPr>
        <w:tab/>
      </w:r>
      <w:r w:rsidRPr="00944A81">
        <w:rPr>
          <w:rtl/>
        </w:rPr>
        <w:endnoteRef/>
      </w:r>
      <w:r>
        <w:rPr>
          <w:rtl/>
        </w:rPr>
        <w:t>.</w:t>
      </w:r>
      <w:r>
        <w:rPr>
          <w:rtl/>
        </w:rPr>
        <w:tab/>
      </w:r>
      <w:r>
        <w:rPr>
          <w:rFonts w:hint="cs"/>
          <w:rtl/>
        </w:rPr>
        <w:t>ראה זהר ח"ג סה, א; פרדס שער כ פ"ב; לקוטי תורה לאריז"ל פרשת שמות ד"ה "זה שמי לעולם". וראה גם שכינה ביניהם שם הערה יז.</w:t>
      </w:r>
    </w:p>
  </w:endnote>
  <w:endnote w:id="11">
    <w:p w:rsidR="00B0560B" w:rsidRDefault="00B0560B" w:rsidP="00B0560B">
      <w:pPr>
        <w:pStyle w:val="a5"/>
        <w:rPr>
          <w:rFonts w:hint="cs"/>
          <w:rtl/>
        </w:rPr>
      </w:pPr>
      <w:r>
        <w:rPr>
          <w:rtl/>
        </w:rPr>
        <w:tab/>
      </w:r>
      <w:r w:rsidRPr="00944A81">
        <w:rPr>
          <w:rtl/>
        </w:rPr>
        <w:endnoteRef/>
      </w:r>
      <w:r>
        <w:rPr>
          <w:rtl/>
        </w:rPr>
        <w:t>.</w:t>
      </w:r>
      <w:r>
        <w:rPr>
          <w:rtl/>
        </w:rPr>
        <w:tab/>
      </w:r>
      <w:r>
        <w:rPr>
          <w:rFonts w:hint="cs"/>
          <w:rtl/>
        </w:rPr>
        <w:t>ראה שכינה ביניהם שם הערה טז.</w:t>
      </w:r>
    </w:p>
  </w:endnote>
  <w:endnote w:id="12">
    <w:p w:rsidR="00B0560B" w:rsidRDefault="00B0560B" w:rsidP="00B0560B">
      <w:pPr>
        <w:pStyle w:val="a5"/>
        <w:rPr>
          <w:rFonts w:hint="cs"/>
        </w:rPr>
      </w:pPr>
      <w:r>
        <w:rPr>
          <w:rtl/>
        </w:rPr>
        <w:tab/>
      </w:r>
      <w:r w:rsidRPr="00944A81">
        <w:rPr>
          <w:rtl/>
        </w:rPr>
        <w:endnoteRef/>
      </w:r>
      <w:r>
        <w:rPr>
          <w:rtl/>
        </w:rPr>
        <w:t>.</w:t>
      </w:r>
      <w:r>
        <w:rPr>
          <w:rtl/>
        </w:rPr>
        <w:tab/>
      </w:r>
      <w:r>
        <w:rPr>
          <w:rFonts w:hint="cs"/>
          <w:rtl/>
        </w:rPr>
        <w:t>לקו"ת שיר השירים לט, ד.</w:t>
      </w:r>
    </w:p>
  </w:endnote>
  <w:endnote w:id="13">
    <w:p w:rsidR="00B0560B" w:rsidRDefault="00B0560B" w:rsidP="00B0560B">
      <w:pPr>
        <w:pStyle w:val="a5"/>
        <w:rPr>
          <w:rFonts w:hint="cs"/>
          <w:rtl/>
        </w:rPr>
      </w:pPr>
      <w:r>
        <w:rPr>
          <w:rtl/>
        </w:rPr>
        <w:tab/>
      </w:r>
      <w:r w:rsidRPr="00944A81">
        <w:rPr>
          <w:rtl/>
        </w:rPr>
        <w:endnoteRef/>
      </w:r>
      <w:r>
        <w:rPr>
          <w:rtl/>
        </w:rPr>
        <w:t>.</w:t>
      </w:r>
      <w:r>
        <w:rPr>
          <w:rtl/>
        </w:rPr>
        <w:tab/>
      </w:r>
      <w:r>
        <w:rPr>
          <w:rFonts w:hint="cs"/>
          <w:rtl/>
        </w:rPr>
        <w:t xml:space="preserve">נדה לא, א. </w:t>
      </w:r>
    </w:p>
  </w:endnote>
  <w:endnote w:id="14">
    <w:p w:rsidR="00B0560B" w:rsidRDefault="00B0560B" w:rsidP="00B0560B">
      <w:pPr>
        <w:pStyle w:val="a5"/>
        <w:rPr>
          <w:rFonts w:hint="cs"/>
        </w:rPr>
      </w:pPr>
      <w:r>
        <w:rPr>
          <w:rtl/>
        </w:rPr>
        <w:tab/>
      </w:r>
      <w:r w:rsidRPr="00944A81">
        <w:rPr>
          <w:rtl/>
        </w:rPr>
        <w:endnoteRef/>
      </w:r>
      <w:r>
        <w:rPr>
          <w:rtl/>
        </w:rPr>
        <w:t>.</w:t>
      </w:r>
      <w:r>
        <w:rPr>
          <w:rtl/>
        </w:rPr>
        <w:tab/>
      </w:r>
      <w:r>
        <w:rPr>
          <w:rFonts w:hint="cs"/>
          <w:rtl/>
        </w:rPr>
        <w:t>דברים יא, א. וראה שכינה ביניהם שם, ובפרט בהערה יח.</w:t>
      </w:r>
    </w:p>
  </w:endnote>
  <w:endnote w:id="15">
    <w:p w:rsidR="00B0560B" w:rsidRDefault="00B0560B" w:rsidP="00B0560B">
      <w:pPr>
        <w:pStyle w:val="a5"/>
        <w:rPr>
          <w:rFonts w:hint="cs"/>
          <w:rtl/>
        </w:rPr>
      </w:pPr>
      <w:r>
        <w:rPr>
          <w:rtl/>
        </w:rPr>
        <w:tab/>
      </w:r>
      <w:r w:rsidRPr="00944A81">
        <w:rPr>
          <w:rtl/>
        </w:rPr>
        <w:endnoteRef/>
      </w:r>
      <w:r>
        <w:rPr>
          <w:rtl/>
        </w:rPr>
        <w:t>.</w:t>
      </w:r>
      <w:r>
        <w:rPr>
          <w:rtl/>
        </w:rPr>
        <w:tab/>
      </w:r>
      <w:r>
        <w:rPr>
          <w:rFonts w:hint="cs"/>
          <w:rtl/>
        </w:rPr>
        <w:t>וראה במהרש"א בערכין שם כי הבקורת בסוגיא שם היא דווקא בנוגע להרחבת השילוח שנכשלה (ולא בדברים אחרים בהם נכשל המלך), משום שהיא התערבות במעשי ה' ותכניתו בבנין המקדש.</w:t>
      </w:r>
    </w:p>
  </w:endnote>
  <w:endnote w:id="16">
    <w:p w:rsidR="00B0560B" w:rsidRDefault="00B0560B" w:rsidP="00B0560B">
      <w:pPr>
        <w:pStyle w:val="a5"/>
        <w:rPr>
          <w:rFonts w:hint="cs"/>
          <w:rtl/>
        </w:rPr>
      </w:pPr>
      <w:r>
        <w:rPr>
          <w:rtl/>
        </w:rPr>
        <w:tab/>
      </w:r>
      <w:r w:rsidRPr="00944A81">
        <w:rPr>
          <w:rtl/>
        </w:rPr>
        <w:endnoteRef/>
      </w:r>
      <w:r>
        <w:rPr>
          <w:rtl/>
        </w:rPr>
        <w:t>.</w:t>
      </w:r>
      <w:r>
        <w:rPr>
          <w:rtl/>
        </w:rPr>
        <w:tab/>
      </w:r>
      <w:r>
        <w:rPr>
          <w:rFonts w:hint="cs"/>
          <w:rtl/>
        </w:rPr>
        <w:t>כדברי המהרש"א בערכין שם: "</w:t>
      </w:r>
      <w:r>
        <w:rPr>
          <w:rtl/>
        </w:rPr>
        <w:t>ע"פ מ"ש פ"ק דכריתות שאין מושחין את המלכים אלא על המעיין כדי שתמשך מלכותן שנאמר והורדתם אותו אל גיחון גו' והוא מעיין השילוח כת"י וזה המלך חשב אם יתרבה מימיו ומשיכתו יותר תימשך מלכותו והראו לו דאינו כן אלא נתמעטו המים והמשיכה דהיינו ביותר שהמלך מתגאה במלכותו נתמעט והוא ענין המקרא יען כי מאס העם הזה את מי השילוח ההולכים לאט גו' דהיינו שמאסו במיעוטו והרחיבו שימשך מים הרבה ע"ש מלכותו</w:t>
      </w:r>
      <w:r>
        <w:rPr>
          <w:rFonts w:hint="cs"/>
          <w:rtl/>
        </w:rPr>
        <w:t>".</w:t>
      </w:r>
    </w:p>
  </w:endnote>
  <w:endnote w:id="17">
    <w:p w:rsidR="00B0560B" w:rsidRDefault="00B0560B" w:rsidP="00B0560B">
      <w:pPr>
        <w:pStyle w:val="a5"/>
        <w:rPr>
          <w:rFonts w:hint="cs"/>
          <w:rtl/>
        </w:rPr>
      </w:pPr>
      <w:r>
        <w:rPr>
          <w:rtl/>
        </w:rPr>
        <w:tab/>
      </w:r>
      <w:r w:rsidRPr="00944A81">
        <w:rPr>
          <w:rtl/>
        </w:rPr>
        <w:endnoteRef/>
      </w:r>
      <w:r>
        <w:rPr>
          <w:rtl/>
        </w:rPr>
        <w:t>.</w:t>
      </w:r>
      <w:r>
        <w:rPr>
          <w:rtl/>
        </w:rPr>
        <w:tab/>
      </w:r>
      <w:r>
        <w:rPr>
          <w:rFonts w:hint="cs"/>
          <w:rtl/>
        </w:rPr>
        <w:t xml:space="preserve">כדברי הרבי בשיחת כ"ח ניסן תשנ"א (ומענין לציין כי על אף הביאור החיובי בחסידות למאמר חז"ל זה, הרבי מביא אותו בשיחותיו דווקא בפירושו הפשטי-השלילי </w:t>
      </w:r>
      <w:r>
        <w:rPr>
          <w:rtl/>
        </w:rPr>
        <w:t>–</w:t>
      </w:r>
      <w:r>
        <w:rPr>
          <w:rFonts w:hint="cs"/>
          <w:rtl/>
        </w:rPr>
        <w:t xml:space="preserve"> ראה בשיחות ב' דחוהמ"ס תשט"ו וג' דחוהמ"ס תשט"ז, ובכ"ד).</w:t>
      </w:r>
    </w:p>
  </w:endnote>
  <w:endnote w:id="18">
    <w:p w:rsidR="00B0560B" w:rsidRDefault="00B0560B" w:rsidP="00B0560B">
      <w:pPr>
        <w:pStyle w:val="a5"/>
        <w:rPr>
          <w:rFonts w:hint="cs"/>
        </w:rPr>
      </w:pPr>
      <w:r>
        <w:rPr>
          <w:rtl/>
        </w:rPr>
        <w:tab/>
      </w:r>
      <w:r w:rsidRPr="00944A81">
        <w:rPr>
          <w:rtl/>
        </w:rPr>
        <w:endnoteRef/>
      </w:r>
      <w:r>
        <w:rPr>
          <w:rtl/>
        </w:rPr>
        <w:t>.</w:t>
      </w:r>
      <w:r>
        <w:rPr>
          <w:rtl/>
        </w:rPr>
        <w:tab/>
      </w:r>
      <w:r>
        <w:rPr>
          <w:rFonts w:hint="cs"/>
          <w:rtl/>
        </w:rPr>
        <w:t>ראה שכינה ביניהם שם. ראה גם יין משמח ח"ב שער ה בתורה "תמחה את זכר עמלק".</w:t>
      </w:r>
    </w:p>
  </w:endnote>
  <w:endnote w:id="19">
    <w:p w:rsidR="00B0560B" w:rsidRDefault="00B0560B" w:rsidP="00B0560B">
      <w:pPr>
        <w:pStyle w:val="a5"/>
        <w:rPr>
          <w:rFonts w:hint="cs"/>
          <w:rtl/>
        </w:rPr>
      </w:pPr>
      <w:r>
        <w:rPr>
          <w:rtl/>
        </w:rPr>
        <w:tab/>
      </w:r>
      <w:r w:rsidRPr="00944A81">
        <w:rPr>
          <w:rtl/>
        </w:rPr>
        <w:endnoteRef/>
      </w:r>
      <w:r>
        <w:rPr>
          <w:rtl/>
        </w:rPr>
        <w:t>.</w:t>
      </w:r>
      <w:r>
        <w:rPr>
          <w:rtl/>
        </w:rPr>
        <w:tab/>
      </w:r>
      <w:r>
        <w:rPr>
          <w:rFonts w:hint="cs"/>
          <w:rtl/>
        </w:rPr>
        <w:t>בראשית מה, א. וראה גם מודעות טבעית עמ' סג הערה ס ורוחו של משיח עמ' שנ, ובכ"ד.</w:t>
      </w:r>
    </w:p>
  </w:endnote>
  <w:endnote w:id="20">
    <w:p w:rsidR="00B0560B" w:rsidRDefault="00B0560B" w:rsidP="00B0560B">
      <w:pPr>
        <w:pStyle w:val="a5"/>
        <w:rPr>
          <w:rFonts w:hint="cs"/>
          <w:rtl/>
        </w:rPr>
      </w:pPr>
      <w:r>
        <w:rPr>
          <w:rtl/>
        </w:rPr>
        <w:tab/>
      </w:r>
      <w:r w:rsidRPr="00944A81">
        <w:rPr>
          <w:rtl/>
        </w:rPr>
        <w:endnoteRef/>
      </w:r>
      <w:r>
        <w:rPr>
          <w:rtl/>
        </w:rPr>
        <w:t>.</w:t>
      </w:r>
      <w:r>
        <w:rPr>
          <w:rtl/>
        </w:rPr>
        <w:tab/>
      </w:r>
      <w:r>
        <w:rPr>
          <w:rFonts w:hint="cs"/>
          <w:rtl/>
        </w:rPr>
        <w:t>מאמר שני המאורות (למוהרי"א מהומיל זצ"ל) ח"ב סימן ד (בהוצאת קה"ת: לד, ב).</w:t>
      </w:r>
    </w:p>
  </w:endnote>
  <w:endnote w:id="21">
    <w:p w:rsidR="00B0560B" w:rsidRDefault="00B0560B" w:rsidP="00B0560B">
      <w:pPr>
        <w:pStyle w:val="a5"/>
        <w:rPr>
          <w:rFonts w:hint="cs"/>
        </w:rPr>
      </w:pPr>
      <w:r>
        <w:rPr>
          <w:rtl/>
        </w:rPr>
        <w:tab/>
      </w:r>
      <w:r w:rsidRPr="00944A81">
        <w:rPr>
          <w:rtl/>
        </w:rPr>
        <w:endnoteRef/>
      </w:r>
      <w:r>
        <w:rPr>
          <w:rtl/>
        </w:rPr>
        <w:t>.</w:t>
      </w:r>
      <w:r>
        <w:rPr>
          <w:rtl/>
        </w:rPr>
        <w:tab/>
      </w:r>
      <w:r>
        <w:rPr>
          <w:rFonts w:hint="cs"/>
          <w:rtl/>
        </w:rPr>
        <w:t>דברים ו, ה.</w:t>
      </w:r>
    </w:p>
  </w:endnote>
  <w:endnote w:id="22">
    <w:p w:rsidR="00B0560B" w:rsidRDefault="00B0560B" w:rsidP="00B0560B">
      <w:pPr>
        <w:pStyle w:val="a5"/>
        <w:rPr>
          <w:rFonts w:hint="cs"/>
          <w:rtl/>
        </w:rPr>
      </w:pPr>
      <w:r>
        <w:rPr>
          <w:rtl/>
        </w:rPr>
        <w:tab/>
      </w:r>
      <w:r w:rsidRPr="00944A81">
        <w:rPr>
          <w:rtl/>
        </w:rPr>
        <w:endnoteRef/>
      </w:r>
      <w:r>
        <w:rPr>
          <w:rtl/>
        </w:rPr>
        <w:t>.</w:t>
      </w:r>
      <w:r>
        <w:rPr>
          <w:rtl/>
        </w:rPr>
        <w:tab/>
      </w:r>
      <w:r>
        <w:rPr>
          <w:rFonts w:hint="cs"/>
          <w:rtl/>
        </w:rPr>
        <w:t>שופטים טז, טז.</w:t>
      </w:r>
    </w:p>
  </w:endnote>
  <w:endnote w:id="23">
    <w:p w:rsidR="00B0560B" w:rsidRDefault="00B0560B" w:rsidP="00B0560B">
      <w:pPr>
        <w:pStyle w:val="a5"/>
        <w:rPr>
          <w:rFonts w:hint="cs"/>
        </w:rPr>
      </w:pPr>
      <w:r>
        <w:rPr>
          <w:rtl/>
        </w:rPr>
        <w:tab/>
      </w:r>
      <w:r w:rsidRPr="00944A81">
        <w:rPr>
          <w:rtl/>
        </w:rPr>
        <w:endnoteRef/>
      </w:r>
      <w:r>
        <w:rPr>
          <w:rtl/>
        </w:rPr>
        <w:t>.</w:t>
      </w:r>
      <w:r>
        <w:rPr>
          <w:rtl/>
        </w:rPr>
        <w:tab/>
      </w:r>
      <w:r>
        <w:rPr>
          <w:rFonts w:hint="cs"/>
          <w:rtl/>
        </w:rPr>
        <w:t>סוטה ט, ב.</w:t>
      </w:r>
    </w:p>
  </w:endnote>
  <w:endnote w:id="24">
    <w:p w:rsidR="00B0560B" w:rsidRDefault="00B0560B" w:rsidP="00B0560B">
      <w:pPr>
        <w:pStyle w:val="a5"/>
        <w:rPr>
          <w:rFonts w:hint="cs"/>
        </w:rPr>
      </w:pPr>
      <w:r>
        <w:rPr>
          <w:rtl/>
        </w:rPr>
        <w:tab/>
      </w:r>
      <w:r w:rsidRPr="00944A81">
        <w:rPr>
          <w:rtl/>
        </w:rPr>
        <w:endnoteRef/>
      </w:r>
      <w:r>
        <w:rPr>
          <w:rtl/>
        </w:rPr>
        <w:t>.</w:t>
      </w:r>
      <w:r>
        <w:rPr>
          <w:rtl/>
        </w:rPr>
        <w:tab/>
      </w:r>
      <w:r>
        <w:rPr>
          <w:rFonts w:hint="cs"/>
          <w:rtl/>
        </w:rPr>
        <w:t>ראה בראשית רבה צח, יד (וכמבואר בריבוי מקומות בכתבי רבי צדוק הכהן מלובלין), וראה גם סוד הוי' ליראיו עמ' לט.</w:t>
      </w:r>
    </w:p>
  </w:endnote>
  <w:endnote w:id="25">
    <w:p w:rsidR="00B0560B" w:rsidRDefault="00B0560B" w:rsidP="00B0560B">
      <w:pPr>
        <w:pStyle w:val="a5"/>
        <w:rPr>
          <w:rFonts w:hint="cs"/>
          <w:rtl/>
        </w:rPr>
      </w:pPr>
      <w:r>
        <w:rPr>
          <w:rtl/>
        </w:rPr>
        <w:tab/>
      </w:r>
      <w:r w:rsidRPr="00944A81">
        <w:rPr>
          <w:rtl/>
        </w:rPr>
        <w:endnoteRef/>
      </w:r>
      <w:r>
        <w:rPr>
          <w:rtl/>
        </w:rPr>
        <w:t>.</w:t>
      </w:r>
      <w:r>
        <w:rPr>
          <w:rtl/>
        </w:rPr>
        <w:tab/>
      </w:r>
      <w:r>
        <w:rPr>
          <w:rFonts w:hint="cs"/>
          <w:rtl/>
        </w:rPr>
        <w:t>סוטה י, א.</w:t>
      </w:r>
    </w:p>
  </w:endnote>
  <w:endnote w:id="26">
    <w:p w:rsidR="00B0560B" w:rsidRDefault="00B0560B" w:rsidP="00B0560B">
      <w:pPr>
        <w:pStyle w:val="a5"/>
        <w:rPr>
          <w:rFonts w:hint="cs"/>
        </w:rPr>
      </w:pPr>
      <w:r>
        <w:rPr>
          <w:rtl/>
        </w:rPr>
        <w:tab/>
      </w:r>
      <w:r w:rsidRPr="00944A81">
        <w:rPr>
          <w:rtl/>
        </w:rPr>
        <w:endnoteRef/>
      </w:r>
      <w:r>
        <w:rPr>
          <w:rtl/>
        </w:rPr>
        <w:t>.</w:t>
      </w:r>
      <w:r>
        <w:rPr>
          <w:rtl/>
        </w:rPr>
        <w:tab/>
      </w:r>
      <w:r>
        <w:rPr>
          <w:rFonts w:hint="cs"/>
          <w:rtl/>
        </w:rPr>
        <w:t>עירובין ק, ב.</w:t>
      </w:r>
    </w:p>
  </w:endnote>
  <w:endnote w:id="27">
    <w:p w:rsidR="00B0560B" w:rsidRDefault="00B0560B" w:rsidP="00B0560B">
      <w:pPr>
        <w:pStyle w:val="a5"/>
        <w:rPr>
          <w:rFonts w:hint="cs"/>
        </w:rPr>
      </w:pPr>
      <w:r>
        <w:rPr>
          <w:rtl/>
        </w:rPr>
        <w:tab/>
      </w:r>
      <w:r w:rsidRPr="00944A81">
        <w:rPr>
          <w:rtl/>
        </w:rPr>
        <w:endnoteRef/>
      </w:r>
      <w:r>
        <w:rPr>
          <w:rtl/>
        </w:rPr>
        <w:t>.</w:t>
      </w:r>
      <w:r>
        <w:rPr>
          <w:rtl/>
        </w:rPr>
        <w:tab/>
      </w:r>
      <w:r>
        <w:rPr>
          <w:rFonts w:hint="cs"/>
          <w:rtl/>
        </w:rPr>
        <w:t>משלי יט, ב.</w:t>
      </w:r>
    </w:p>
  </w:endnote>
  <w:endnote w:id="28">
    <w:p w:rsidR="00B0560B" w:rsidRDefault="00B0560B" w:rsidP="00B0560B">
      <w:pPr>
        <w:pStyle w:val="a5"/>
        <w:rPr>
          <w:rFonts w:hint="cs"/>
        </w:rPr>
      </w:pPr>
      <w:r>
        <w:rPr>
          <w:rtl/>
        </w:rPr>
        <w:tab/>
      </w:r>
      <w:r w:rsidRPr="00944A81">
        <w:rPr>
          <w:rtl/>
        </w:rPr>
        <w:endnoteRef/>
      </w:r>
      <w:r>
        <w:rPr>
          <w:rtl/>
        </w:rPr>
        <w:t>.</w:t>
      </w:r>
      <w:r>
        <w:rPr>
          <w:rtl/>
        </w:rPr>
        <w:tab/>
      </w:r>
      <w:r>
        <w:rPr>
          <w:rFonts w:hint="cs"/>
          <w:rtl/>
        </w:rPr>
        <w:t>קהלת ד, יב.</w:t>
      </w:r>
    </w:p>
  </w:endnote>
  <w:endnote w:id="29">
    <w:p w:rsidR="00B0560B" w:rsidRDefault="00B0560B" w:rsidP="00B0560B">
      <w:pPr>
        <w:pStyle w:val="a5"/>
        <w:rPr>
          <w:rFonts w:hint="cs"/>
        </w:rPr>
      </w:pPr>
      <w:r>
        <w:rPr>
          <w:rtl/>
        </w:rPr>
        <w:tab/>
      </w:r>
      <w:r w:rsidRPr="00944A81">
        <w:rPr>
          <w:rtl/>
        </w:rPr>
        <w:endnoteRef/>
      </w:r>
      <w:r>
        <w:rPr>
          <w:rtl/>
        </w:rPr>
        <w:t>.</w:t>
      </w:r>
      <w:r>
        <w:rPr>
          <w:rtl/>
        </w:rPr>
        <w:tab/>
      </w:r>
      <w:r>
        <w:rPr>
          <w:rFonts w:hint="cs"/>
          <w:rtl/>
        </w:rPr>
        <w:t>קדושין ל, ב וש"נ.</w:t>
      </w:r>
    </w:p>
  </w:endnote>
  <w:endnote w:id="30">
    <w:p w:rsidR="00B0560B" w:rsidRDefault="00B0560B" w:rsidP="00B0560B">
      <w:pPr>
        <w:pStyle w:val="a5"/>
        <w:rPr>
          <w:rFonts w:hint="cs"/>
        </w:rPr>
      </w:pPr>
      <w:r>
        <w:rPr>
          <w:rtl/>
        </w:rPr>
        <w:tab/>
      </w:r>
      <w:r w:rsidRPr="00944A81">
        <w:rPr>
          <w:rtl/>
        </w:rPr>
        <w:endnoteRef/>
      </w:r>
      <w:r>
        <w:rPr>
          <w:rtl/>
        </w:rPr>
        <w:t>.</w:t>
      </w:r>
      <w:r>
        <w:rPr>
          <w:rtl/>
        </w:rPr>
        <w:tab/>
      </w:r>
      <w:r>
        <w:rPr>
          <w:rFonts w:hint="cs"/>
          <w:rtl/>
        </w:rPr>
        <w:t>סוטה יז, ב.</w:t>
      </w:r>
    </w:p>
  </w:endnote>
  <w:endnote w:id="31">
    <w:p w:rsidR="00B0560B" w:rsidRDefault="00B0560B" w:rsidP="00B0560B">
      <w:pPr>
        <w:pStyle w:val="a5"/>
        <w:rPr>
          <w:rFonts w:hint="cs"/>
          <w:rtl/>
        </w:rPr>
      </w:pPr>
      <w:r>
        <w:rPr>
          <w:rtl/>
        </w:rPr>
        <w:tab/>
      </w:r>
      <w:r w:rsidRPr="00944A81">
        <w:rPr>
          <w:rtl/>
        </w:rPr>
        <w:endnoteRef/>
      </w:r>
      <w:r>
        <w:rPr>
          <w:rtl/>
        </w:rPr>
        <w:t>.</w:t>
      </w:r>
      <w:r>
        <w:rPr>
          <w:rtl/>
        </w:rPr>
        <w:tab/>
      </w:r>
      <w:r>
        <w:rPr>
          <w:rFonts w:hint="cs"/>
          <w:rtl/>
        </w:rPr>
        <w:t>ירמיה ב, כא. וראה גם שכינה ביניהם שם הערה יח.</w:t>
      </w:r>
    </w:p>
  </w:endnote>
  <w:endnote w:id="32">
    <w:p w:rsidR="00B0560B" w:rsidRDefault="00B0560B" w:rsidP="00B0560B">
      <w:pPr>
        <w:pStyle w:val="a5"/>
        <w:rPr>
          <w:rFonts w:hint="cs"/>
        </w:rPr>
      </w:pPr>
      <w:r>
        <w:rPr>
          <w:rtl/>
        </w:rPr>
        <w:tab/>
      </w:r>
      <w:r w:rsidRPr="00944A81">
        <w:rPr>
          <w:rtl/>
        </w:rPr>
        <w:endnoteRef/>
      </w:r>
      <w:r>
        <w:rPr>
          <w:rtl/>
        </w:rPr>
        <w:t>.</w:t>
      </w:r>
      <w:r>
        <w:rPr>
          <w:rtl/>
        </w:rPr>
        <w:tab/>
      </w:r>
      <w:r>
        <w:rPr>
          <w:rFonts w:hint="cs"/>
          <w:rtl/>
        </w:rPr>
        <w:t>ישעיה ו, יג.</w:t>
      </w:r>
    </w:p>
  </w:endnote>
  <w:endnote w:id="33">
    <w:p w:rsidR="00B0560B" w:rsidRDefault="00B0560B" w:rsidP="00B0560B">
      <w:pPr>
        <w:pStyle w:val="a5"/>
        <w:rPr>
          <w:rFonts w:hint="cs"/>
        </w:rPr>
      </w:pPr>
      <w:r>
        <w:rPr>
          <w:rtl/>
        </w:rPr>
        <w:tab/>
      </w:r>
      <w:r w:rsidRPr="00944A81">
        <w:rPr>
          <w:rtl/>
        </w:rPr>
        <w:endnoteRef/>
      </w:r>
      <w:r>
        <w:rPr>
          <w:rtl/>
        </w:rPr>
        <w:t>.</w:t>
      </w:r>
      <w:r>
        <w:rPr>
          <w:rtl/>
        </w:rPr>
        <w:tab/>
      </w:r>
      <w:r>
        <w:rPr>
          <w:rFonts w:hint="cs"/>
          <w:rtl/>
        </w:rPr>
        <w:t xml:space="preserve">ראה ברכות ט, ב. </w:t>
      </w:r>
    </w:p>
  </w:endnote>
  <w:endnote w:id="34">
    <w:p w:rsidR="00B0560B" w:rsidRDefault="00B0560B" w:rsidP="00B0560B">
      <w:pPr>
        <w:pStyle w:val="a5"/>
        <w:rPr>
          <w:rFonts w:hint="cs"/>
          <w:rtl/>
        </w:rPr>
      </w:pPr>
      <w:r>
        <w:rPr>
          <w:rtl/>
        </w:rPr>
        <w:tab/>
      </w:r>
      <w:r w:rsidRPr="00944A81">
        <w:rPr>
          <w:rtl/>
        </w:rPr>
        <w:endnoteRef/>
      </w:r>
      <w:r>
        <w:rPr>
          <w:rtl/>
        </w:rPr>
        <w:t>.</w:t>
      </w:r>
      <w:r>
        <w:rPr>
          <w:rtl/>
        </w:rPr>
        <w:tab/>
      </w:r>
      <w:r>
        <w:rPr>
          <w:rFonts w:hint="cs"/>
          <w:rtl/>
        </w:rPr>
        <w:t xml:space="preserve">ישעיה ס, כב. </w:t>
      </w:r>
    </w:p>
  </w:endnote>
  <w:endnote w:id="35">
    <w:p w:rsidR="00B0560B" w:rsidRDefault="00B0560B" w:rsidP="00B0560B">
      <w:pPr>
        <w:pStyle w:val="a5"/>
        <w:rPr>
          <w:rFonts w:hint="cs"/>
          <w:rtl/>
        </w:rPr>
      </w:pPr>
      <w:r>
        <w:rPr>
          <w:rtl/>
        </w:rPr>
        <w:tab/>
      </w:r>
      <w:r w:rsidRPr="00944A81">
        <w:rPr>
          <w:rtl/>
        </w:rPr>
        <w:endnoteRef/>
      </w:r>
      <w:r>
        <w:rPr>
          <w:rtl/>
        </w:rPr>
        <w:t>.</w:t>
      </w:r>
      <w:r>
        <w:rPr>
          <w:rtl/>
        </w:rPr>
        <w:tab/>
      </w:r>
      <w:r>
        <w:rPr>
          <w:rFonts w:hint="cs"/>
          <w:rtl/>
        </w:rPr>
        <w:t>ראה רד"ק עה"פ, וראה באורך בספר בעתה אחישנה עמ'סט ואילך.</w:t>
      </w:r>
    </w:p>
  </w:endnote>
  <w:endnote w:id="36">
    <w:p w:rsidR="00B0560B" w:rsidRDefault="00B0560B" w:rsidP="00B0560B">
      <w:pPr>
        <w:pStyle w:val="a5"/>
        <w:rPr>
          <w:rFonts w:hint="cs"/>
          <w:rtl/>
        </w:rPr>
      </w:pPr>
      <w:r>
        <w:rPr>
          <w:rtl/>
        </w:rPr>
        <w:tab/>
      </w:r>
      <w:r w:rsidRPr="00944A81">
        <w:rPr>
          <w:rtl/>
        </w:rPr>
        <w:endnoteRef/>
      </w:r>
      <w:r>
        <w:rPr>
          <w:rtl/>
        </w:rPr>
        <w:t>.</w:t>
      </w:r>
      <w:r>
        <w:rPr>
          <w:rtl/>
        </w:rPr>
        <w:tab/>
      </w:r>
      <w:r>
        <w:rPr>
          <w:rFonts w:hint="cs"/>
          <w:rtl/>
        </w:rPr>
        <w:t xml:space="preserve">ראה ברכות ט, ב. </w:t>
      </w:r>
    </w:p>
  </w:endnote>
  <w:endnote w:id="37">
    <w:p w:rsidR="00B0560B" w:rsidRDefault="00B0560B" w:rsidP="00B0560B">
      <w:pPr>
        <w:pStyle w:val="a5"/>
        <w:rPr>
          <w:rFonts w:hint="cs"/>
          <w:rtl/>
        </w:rPr>
      </w:pPr>
      <w:r>
        <w:rPr>
          <w:rtl/>
        </w:rPr>
        <w:tab/>
      </w:r>
      <w:r w:rsidRPr="00944A81">
        <w:rPr>
          <w:rtl/>
        </w:rPr>
        <w:endnoteRef/>
      </w:r>
      <w:r>
        <w:rPr>
          <w:rtl/>
        </w:rPr>
        <w:t>.</w:t>
      </w:r>
      <w:r>
        <w:rPr>
          <w:rtl/>
        </w:rPr>
        <w:tab/>
      </w:r>
      <w:r>
        <w:rPr>
          <w:rFonts w:hint="cs"/>
          <w:rtl/>
        </w:rPr>
        <w:t>שמות ב, י.</w:t>
      </w:r>
    </w:p>
  </w:endnote>
  <w:endnote w:id="38">
    <w:p w:rsidR="00B0560B" w:rsidRDefault="00B0560B" w:rsidP="00B0560B">
      <w:pPr>
        <w:pStyle w:val="a5"/>
        <w:rPr>
          <w:rFonts w:hint="cs"/>
        </w:rPr>
      </w:pPr>
      <w:r>
        <w:rPr>
          <w:rtl/>
        </w:rPr>
        <w:tab/>
      </w:r>
      <w:r w:rsidRPr="00944A81">
        <w:rPr>
          <w:rtl/>
        </w:rPr>
        <w:endnoteRef/>
      </w:r>
      <w:r>
        <w:rPr>
          <w:rtl/>
        </w:rPr>
        <w:t>.</w:t>
      </w:r>
      <w:r>
        <w:rPr>
          <w:rtl/>
        </w:rPr>
        <w:tab/>
      </w:r>
      <w:r>
        <w:rPr>
          <w:rFonts w:hint="cs"/>
          <w:rtl/>
        </w:rPr>
        <w:t>ראה מעין גנים במדבר עמ' קנג סוף הערה סו (ובכ"ד).</w:t>
      </w:r>
    </w:p>
  </w:endnote>
  <w:endnote w:id="39">
    <w:p w:rsidR="00B0560B" w:rsidRDefault="00B0560B" w:rsidP="00B0560B">
      <w:pPr>
        <w:pStyle w:val="a5"/>
        <w:rPr>
          <w:rFonts w:hint="cs"/>
        </w:rPr>
      </w:pPr>
      <w:r>
        <w:rPr>
          <w:rtl/>
        </w:rPr>
        <w:tab/>
      </w:r>
      <w:r w:rsidRPr="00944A81">
        <w:rPr>
          <w:rtl/>
        </w:rPr>
        <w:endnoteRef/>
      </w:r>
      <w:r>
        <w:rPr>
          <w:rtl/>
        </w:rPr>
        <w:t>.</w:t>
      </w:r>
      <w:r>
        <w:rPr>
          <w:rtl/>
        </w:rPr>
        <w:tab/>
      </w:r>
      <w:r w:rsidRPr="00C14ED2">
        <w:rPr>
          <w:rtl/>
        </w:rPr>
        <w:t>ראה לקו</w:t>
      </w:r>
      <w:r>
        <w:rPr>
          <w:rFonts w:hint="cs"/>
          <w:rtl/>
        </w:rPr>
        <w:t>טי תורה</w:t>
      </w:r>
      <w:r w:rsidRPr="00C14ED2">
        <w:rPr>
          <w:rtl/>
        </w:rPr>
        <w:t xml:space="preserve"> עקב יז, א. שה"ש לז, ג. וראה לקו"ת ושער הפסוקים להאריז"ל עה"פ. לקו"ש ח"ו ע' 247 וש"נ.</w:t>
      </w:r>
    </w:p>
  </w:endnote>
  <w:endnote w:id="40">
    <w:p w:rsidR="00B0560B" w:rsidRDefault="00B0560B" w:rsidP="00B0560B">
      <w:pPr>
        <w:pStyle w:val="a5"/>
        <w:rPr>
          <w:rFonts w:hint="cs"/>
        </w:rPr>
      </w:pPr>
      <w:r>
        <w:rPr>
          <w:rtl/>
        </w:rPr>
        <w:tab/>
      </w:r>
      <w:r w:rsidRPr="00944A81">
        <w:rPr>
          <w:rtl/>
        </w:rPr>
        <w:endnoteRef/>
      </w:r>
      <w:r>
        <w:rPr>
          <w:rtl/>
        </w:rPr>
        <w:t>.</w:t>
      </w:r>
      <w:r>
        <w:rPr>
          <w:rtl/>
        </w:rPr>
        <w:tab/>
      </w:r>
      <w:r>
        <w:rPr>
          <w:rFonts w:hint="cs"/>
          <w:rtl/>
        </w:rPr>
        <w:t>ראה ר"ה כא, ב. זהר ח"ב קטו, א; ח"ג רכג, א.</w:t>
      </w:r>
    </w:p>
  </w:endnote>
  <w:endnote w:id="41">
    <w:p w:rsidR="00B0560B" w:rsidRDefault="00B0560B" w:rsidP="00B0560B">
      <w:pPr>
        <w:pStyle w:val="a5"/>
        <w:rPr>
          <w:rFonts w:hint="cs"/>
        </w:rPr>
      </w:pPr>
      <w:r>
        <w:rPr>
          <w:rtl/>
        </w:rPr>
        <w:tab/>
      </w:r>
      <w:r w:rsidRPr="00944A81">
        <w:rPr>
          <w:rtl/>
        </w:rPr>
        <w:endnoteRef/>
      </w:r>
      <w:r>
        <w:rPr>
          <w:rtl/>
        </w:rPr>
        <w:t>.</w:t>
      </w:r>
      <w:r>
        <w:rPr>
          <w:rtl/>
        </w:rPr>
        <w:tab/>
      </w:r>
      <w:r>
        <w:rPr>
          <w:rFonts w:hint="cs"/>
          <w:rtl/>
        </w:rPr>
        <w:t>שמות ד, יג. וראה ילקוט שמעוני שמות רמז קעא.</w:t>
      </w:r>
    </w:p>
  </w:endnote>
  <w:endnote w:id="42">
    <w:p w:rsidR="00B0560B" w:rsidRDefault="00B0560B" w:rsidP="00B0560B">
      <w:pPr>
        <w:pStyle w:val="a5"/>
        <w:rPr>
          <w:rFonts w:hint="cs"/>
          <w:rtl/>
        </w:rPr>
      </w:pPr>
      <w:r>
        <w:rPr>
          <w:rtl/>
        </w:rPr>
        <w:tab/>
      </w:r>
      <w:r w:rsidRPr="00944A81">
        <w:rPr>
          <w:rtl/>
        </w:rPr>
        <w:endnoteRef/>
      </w:r>
      <w:r>
        <w:rPr>
          <w:rtl/>
        </w:rPr>
        <w:t>.</w:t>
      </w:r>
      <w:r>
        <w:rPr>
          <w:rtl/>
        </w:rPr>
        <w:tab/>
      </w:r>
      <w:r>
        <w:rPr>
          <w:rFonts w:hint="cs"/>
          <w:rtl/>
        </w:rPr>
        <w:t xml:space="preserve">ראה </w:t>
      </w:r>
      <w:r>
        <w:rPr>
          <w:rtl/>
        </w:rPr>
        <w:t xml:space="preserve">באריכות </w:t>
      </w:r>
      <w:r w:rsidRPr="00384D21">
        <w:rPr>
          <w:rtl/>
        </w:rPr>
        <w:t>רוחו של משיח עמ' קד-קה</w:t>
      </w:r>
      <w:r>
        <w:rPr>
          <w:rFonts w:hint="cs"/>
          <w:rtl/>
        </w:rPr>
        <w:t>.</w:t>
      </w:r>
    </w:p>
  </w:endnote>
  <w:endnote w:id="43">
    <w:p w:rsidR="00B0560B" w:rsidRDefault="00B0560B" w:rsidP="00B0560B">
      <w:pPr>
        <w:pStyle w:val="a5"/>
        <w:rPr>
          <w:rFonts w:hint="cs"/>
        </w:rPr>
      </w:pPr>
      <w:r>
        <w:rPr>
          <w:rtl/>
        </w:rPr>
        <w:tab/>
      </w:r>
      <w:r w:rsidRPr="00944A81">
        <w:rPr>
          <w:rtl/>
        </w:rPr>
        <w:endnoteRef/>
      </w:r>
      <w:r>
        <w:rPr>
          <w:rtl/>
        </w:rPr>
        <w:t>.</w:t>
      </w:r>
      <w:r>
        <w:rPr>
          <w:rtl/>
        </w:rPr>
        <w:tab/>
      </w:r>
      <w:r>
        <w:rPr>
          <w:rFonts w:hint="cs"/>
          <w:rtl/>
        </w:rPr>
        <w:t>ראה שמות רבה ד, ב; זהר ח"א רנג, א; שער הפסוקים פרשת ויחי; תורה אור משפטים עד, ג.</w:t>
      </w:r>
    </w:p>
  </w:endnote>
  <w:endnote w:id="44">
    <w:p w:rsidR="00B0560B" w:rsidRDefault="00B0560B" w:rsidP="00B0560B">
      <w:pPr>
        <w:pStyle w:val="a5"/>
        <w:rPr>
          <w:rFonts w:hint="cs"/>
          <w:rtl/>
        </w:rPr>
      </w:pPr>
      <w:r>
        <w:rPr>
          <w:rtl/>
        </w:rPr>
        <w:tab/>
      </w:r>
      <w:r w:rsidRPr="00944A81">
        <w:rPr>
          <w:rtl/>
        </w:rPr>
        <w:endnoteRef/>
      </w:r>
      <w:r>
        <w:rPr>
          <w:rtl/>
        </w:rPr>
        <w:t>.</w:t>
      </w:r>
      <w:r>
        <w:rPr>
          <w:rtl/>
        </w:rPr>
        <w:tab/>
      </w:r>
      <w:r>
        <w:rPr>
          <w:rFonts w:hint="cs"/>
          <w:rtl/>
        </w:rPr>
        <w:t>רש"י במדבר כא, כא.</w:t>
      </w:r>
    </w:p>
  </w:endnote>
  <w:endnote w:id="45">
    <w:p w:rsidR="00B0560B" w:rsidRDefault="00B0560B" w:rsidP="00B0560B">
      <w:pPr>
        <w:pStyle w:val="a5"/>
        <w:rPr>
          <w:rFonts w:hint="cs"/>
          <w:rtl/>
        </w:rPr>
      </w:pPr>
      <w:r>
        <w:rPr>
          <w:rtl/>
        </w:rPr>
        <w:tab/>
      </w:r>
      <w:r w:rsidRPr="00944A81">
        <w:rPr>
          <w:rtl/>
        </w:rPr>
        <w:endnoteRef/>
      </w:r>
      <w:r>
        <w:rPr>
          <w:rtl/>
        </w:rPr>
        <w:t>.</w:t>
      </w:r>
      <w:r>
        <w:rPr>
          <w:rtl/>
        </w:rPr>
        <w:tab/>
      </w:r>
      <w:r>
        <w:rPr>
          <w:rFonts w:hint="cs"/>
          <w:rtl/>
        </w:rPr>
        <w:t>ראה לעיל בתורה "יחוד, ברכה, קדושה" וכן בשער ה בתורה "שערי טבילה".</w:t>
      </w:r>
    </w:p>
  </w:endnote>
  <w:endnote w:id="46">
    <w:p w:rsidR="00B0560B" w:rsidRDefault="00B0560B" w:rsidP="00B0560B">
      <w:pPr>
        <w:pStyle w:val="a5"/>
        <w:rPr>
          <w:rFonts w:hint="cs"/>
          <w:rtl/>
        </w:rPr>
      </w:pPr>
      <w:r>
        <w:rPr>
          <w:rtl/>
        </w:rPr>
        <w:tab/>
      </w:r>
      <w:r w:rsidRPr="00944A81">
        <w:rPr>
          <w:rtl/>
        </w:rPr>
        <w:endnoteRef/>
      </w:r>
      <w:r>
        <w:rPr>
          <w:rtl/>
        </w:rPr>
        <w:t>.</w:t>
      </w:r>
      <w:r>
        <w:rPr>
          <w:rtl/>
        </w:rPr>
        <w:tab/>
      </w:r>
      <w:r>
        <w:rPr>
          <w:rFonts w:hint="cs"/>
          <w:rtl/>
        </w:rPr>
        <w:t>שמות כג, כו. וראה תו"א עט, 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9E" w:rsidRDefault="00C1019E" w:rsidP="00B0560B">
      <w:pPr>
        <w:spacing w:after="0" w:line="240" w:lineRule="auto"/>
      </w:pPr>
      <w:r>
        <w:separator/>
      </w:r>
    </w:p>
  </w:footnote>
  <w:footnote w:type="continuationSeparator" w:id="0">
    <w:p w:rsidR="00C1019E" w:rsidRDefault="00C1019E" w:rsidP="00B05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00A"/>
    <w:rsid w:val="00061E65"/>
    <w:rsid w:val="0035200A"/>
    <w:rsid w:val="00AC2310"/>
    <w:rsid w:val="00B0560B"/>
    <w:rsid w:val="00C101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0560B"/>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B0560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0560B"/>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B0560B"/>
    <w:rPr>
      <w:noProof/>
      <w:position w:val="-4"/>
      <w:szCs w:val="26"/>
      <w:vertAlign w:val="superscript"/>
    </w:rPr>
  </w:style>
  <w:style w:type="character" w:customStyle="1" w:styleId="a4">
    <w:name w:val="מרים"/>
    <w:basedOn w:val="a0"/>
    <w:rsid w:val="00B0560B"/>
    <w:rPr>
      <w:rFonts w:cs="MiriamMFO"/>
      <w:w w:val="100"/>
      <w:sz w:val="21"/>
      <w:szCs w:val="23"/>
    </w:rPr>
  </w:style>
  <w:style w:type="paragraph" w:styleId="a5">
    <w:name w:val="endnote text"/>
    <w:aliases w:val="Endnote Text"/>
    <w:basedOn w:val="a"/>
    <w:link w:val="a6"/>
    <w:semiHidden/>
    <w:rsid w:val="00B0560B"/>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B0560B"/>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B0560B"/>
    <w:rPr>
      <w:noProof/>
      <w:position w:val="-4"/>
      <w:szCs w:val="27"/>
      <w:vertAlign w:val="superscript"/>
    </w:rPr>
  </w:style>
  <w:style w:type="paragraph" w:customStyle="1" w:styleId="a8">
    <w:name w:val="פתיח תו"/>
    <w:basedOn w:val="a"/>
    <w:link w:val="a9"/>
    <w:rsid w:val="00B0560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B0560B"/>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0560B"/>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B0560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0560B"/>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B0560B"/>
    <w:rPr>
      <w:noProof/>
      <w:position w:val="-4"/>
      <w:szCs w:val="26"/>
      <w:vertAlign w:val="superscript"/>
    </w:rPr>
  </w:style>
  <w:style w:type="character" w:customStyle="1" w:styleId="a4">
    <w:name w:val="מרים"/>
    <w:basedOn w:val="a0"/>
    <w:rsid w:val="00B0560B"/>
    <w:rPr>
      <w:rFonts w:cs="MiriamMFO"/>
      <w:w w:val="100"/>
      <w:sz w:val="21"/>
      <w:szCs w:val="23"/>
    </w:rPr>
  </w:style>
  <w:style w:type="paragraph" w:styleId="a5">
    <w:name w:val="endnote text"/>
    <w:aliases w:val="Endnote Text"/>
    <w:basedOn w:val="a"/>
    <w:link w:val="a6"/>
    <w:semiHidden/>
    <w:rsid w:val="00B0560B"/>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B0560B"/>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B0560B"/>
    <w:rPr>
      <w:noProof/>
      <w:position w:val="-4"/>
      <w:szCs w:val="27"/>
      <w:vertAlign w:val="superscript"/>
    </w:rPr>
  </w:style>
  <w:style w:type="paragraph" w:customStyle="1" w:styleId="a8">
    <w:name w:val="פתיח תו"/>
    <w:basedOn w:val="a"/>
    <w:link w:val="a9"/>
    <w:rsid w:val="00B0560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B0560B"/>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883</Words>
  <Characters>4416</Characters>
  <Application>Microsoft Office Word</Application>
  <DocSecurity>0</DocSecurity>
  <Lines>36</Lines>
  <Paragraphs>10</Paragraphs>
  <ScaleCrop>false</ScaleCrop>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2017-08-16T10:46:00Z</dcterms:created>
  <dcterms:modified xsi:type="dcterms:W3CDTF">2017-08-16T10:46:00Z</dcterms:modified>
</cp:coreProperties>
</file>