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8B364" w14:textId="77777777" w:rsidR="00EE618D" w:rsidRDefault="00EE618D" w:rsidP="00EE618D">
      <w:pPr>
        <w:pStyle w:val="1"/>
        <w:rPr>
          <w:rtl/>
        </w:rPr>
      </w:pPr>
      <w:bookmarkStart w:id="0" w:name="_Toc500419232"/>
      <w:r>
        <w:rPr>
          <w:rtl/>
        </w:rPr>
        <w:t>הקדמה</w:t>
      </w:r>
      <w:bookmarkEnd w:id="0"/>
    </w:p>
    <w:p w14:paraId="41A6C87D" w14:textId="77777777" w:rsidR="00EE618D" w:rsidRDefault="00EE618D" w:rsidP="00EE618D">
      <w:pPr>
        <w:pStyle w:val="a6"/>
        <w:rPr>
          <w:rtl/>
        </w:rPr>
      </w:pPr>
      <w:r>
        <w:rPr>
          <w:rtl/>
        </w:rPr>
        <w:t>מעשה בנכרי אחד שבא לפני שמאי. אמר לו: גיירני על מנת שתלמדני כל התורה כולה כשאני עומד על רגל אחת. דחפו באמת הבנין שבידו. בא לפני הלל, גייריה [— גיירו]. אמר לו: דעלך סני לחברך לא תעביד. זו היא כל התורה כולה, ואידך פירושה הוא זיל גמור [— שעליך שנוא לחברך לא תעשה, זו היא כל התורה כולה, והשאר פירושה הוא, לך ולמד].</w:t>
      </w:r>
      <w:r>
        <w:rPr>
          <w:rStyle w:val="a5"/>
          <w:rFonts w:ascii="Times New Roman" w:hAnsi="Times New Roman" w:cs="David"/>
          <w:sz w:val="24"/>
          <w:szCs w:val="24"/>
          <w:rtl/>
        </w:rPr>
        <w:footnoteReference w:id="1"/>
      </w:r>
    </w:p>
    <w:p w14:paraId="36662FFD" w14:textId="77777777" w:rsidR="00EE618D" w:rsidRDefault="00EE618D" w:rsidP="00EE618D">
      <w:pPr>
        <w:rPr>
          <w:rtl/>
        </w:rPr>
      </w:pPr>
      <w:r>
        <w:rPr>
          <w:rtl/>
        </w:rPr>
        <w:t>כאשר בא נכרי אל הלל ובקש ממנו ללמדו את התורה כולה על רגל אחת, לא דחהו הלל — אלא 'תמצת' לו את התורה למשפט היכול להאמר על רגל אחת. אכן, פעמים רבות קיימת נטייה ללמוד את התורה כולה על רגל אחת, ולהעמידה על כלל ועיקר אחד.</w:t>
      </w:r>
    </w:p>
    <w:p w14:paraId="094BC8D1" w14:textId="77777777" w:rsidR="00EE618D" w:rsidRDefault="00EE618D" w:rsidP="00EE618D">
      <w:pPr>
        <w:rPr>
          <w:rtl/>
        </w:rPr>
      </w:pPr>
      <w:r>
        <w:rPr>
          <w:rtl/>
        </w:rPr>
        <w:t>מצד העצם אין לחלק בקדושת התורה בין מצוה למצוה, בין פסוק לפסוק ובין כלל לפרט (וכדברי הרמב"ם: "ואין הפרש בין 'ובני חם כוש ומצרים'</w:t>
      </w:r>
      <w:r>
        <w:rPr>
          <w:rStyle w:val="a5"/>
          <w:rFonts w:ascii="Times New Roman" w:hAnsi="Times New Roman" w:cs="David"/>
          <w:sz w:val="24"/>
          <w:szCs w:val="24"/>
          <w:rtl/>
        </w:rPr>
        <w:footnoteReference w:id="2"/>
      </w:r>
      <w:r>
        <w:rPr>
          <w:rtl/>
        </w:rPr>
        <w:t xml:space="preserve"> 'ושם אשתו מהיטבאל'</w:t>
      </w:r>
      <w:r>
        <w:rPr>
          <w:rStyle w:val="a5"/>
          <w:rFonts w:ascii="Times New Roman" w:hAnsi="Times New Roman" w:cs="David"/>
          <w:sz w:val="24"/>
          <w:szCs w:val="24"/>
          <w:rtl/>
        </w:rPr>
        <w:footnoteReference w:id="3"/>
      </w:r>
      <w:r>
        <w:rPr>
          <w:rtl/>
        </w:rPr>
        <w:t xml:space="preserve"> 'ותמנע היתה פילגש'</w:t>
      </w:r>
      <w:r>
        <w:rPr>
          <w:rStyle w:val="a5"/>
          <w:rFonts w:ascii="Times New Roman" w:hAnsi="Times New Roman" w:cs="David"/>
          <w:sz w:val="24"/>
          <w:szCs w:val="24"/>
          <w:rtl/>
        </w:rPr>
        <w:footnoteReference w:id="4"/>
      </w:r>
      <w:r>
        <w:rPr>
          <w:rtl/>
        </w:rPr>
        <w:t xml:space="preserve"> ובין 'אנכי הוי' אלהיך'</w:t>
      </w:r>
      <w:r>
        <w:rPr>
          <w:rStyle w:val="a5"/>
          <w:rFonts w:ascii="Times New Roman" w:hAnsi="Times New Roman" w:cs="David"/>
          <w:sz w:val="24"/>
          <w:szCs w:val="24"/>
          <w:rtl/>
        </w:rPr>
        <w:footnoteReference w:id="5"/>
      </w:r>
      <w:r>
        <w:rPr>
          <w:rtl/>
        </w:rPr>
        <w:t xml:space="preserve"> ו'שמע ישראל'</w:t>
      </w:r>
      <w:r>
        <w:rPr>
          <w:rStyle w:val="a5"/>
          <w:rFonts w:ascii="Times New Roman" w:hAnsi="Times New Roman" w:cs="David"/>
          <w:sz w:val="24"/>
          <w:szCs w:val="24"/>
          <w:rtl/>
        </w:rPr>
        <w:footnoteReference w:id="6"/>
      </w:r>
      <w:r>
        <w:rPr>
          <w:rtl/>
        </w:rPr>
        <w:t>, כי הכל מפי הגבורה, והכל תורת ה' תמימה טהורה וקדושה אמת"</w:t>
      </w:r>
      <w:r>
        <w:rPr>
          <w:rStyle w:val="a5"/>
          <w:rFonts w:ascii="Times New Roman" w:hAnsi="Times New Roman" w:cs="David"/>
          <w:sz w:val="24"/>
          <w:szCs w:val="24"/>
          <w:rtl/>
        </w:rPr>
        <w:footnoteReference w:id="7"/>
      </w:r>
      <w:r>
        <w:rPr>
          <w:rtl/>
        </w:rPr>
        <w:t>). אמנם, ברור כי גם בתורה קיימים פסוקים המבטאים ערכים כלליים יותר — ערכי יסוד — אשר ניתן להשתמש בהם כמפתח לתורה כולה.</w:t>
      </w:r>
    </w:p>
    <w:p w14:paraId="3B63AD7A" w14:textId="77777777" w:rsidR="00EE618D" w:rsidRDefault="00EE618D" w:rsidP="00EE618D">
      <w:pPr>
        <w:rPr>
          <w:rtl/>
        </w:rPr>
      </w:pPr>
      <w:r>
        <w:rPr>
          <w:rtl/>
        </w:rPr>
        <w:t>ובלשון החסידות: כאשר נערכים פסוקי התורה בערכים של 'העלם וגילוי', בהחלט ניתן לומר כי ישנם פסוקים בהם מאיר האור האלקי ביתר גילוי — ומפסוקים אלו מסתעף אור זה להתגלות במקומות אחרים. פסוקים ומצוות שכאלו הנם כללים גדולים בתורה, ודרכם מתגלה האלקות בתוך התורה. כשם שעצם נשמתו של האדם שורה בכל הגוף בשוה</w:t>
      </w:r>
      <w:r>
        <w:rPr>
          <w:rStyle w:val="a5"/>
          <w:rFonts w:ascii="Times New Roman" w:hAnsi="Times New Roman" w:cs="David"/>
          <w:sz w:val="24"/>
          <w:szCs w:val="24"/>
          <w:rtl/>
        </w:rPr>
        <w:footnoteReference w:id="8"/>
      </w:r>
      <w:r>
        <w:rPr>
          <w:rtl/>
        </w:rPr>
        <w:t xml:space="preserve"> — כך כל התורה כולה היא גילוי אלקי עצמי שוה. אך כשם שהנשמה מתגלה ומאירה דוקא במח, ודרכו מאירה בכל האבריםח — כך מתגלה האלקות ומאירה בתורה דרך כללים גדולים, ודרכם מאירה בכל פסוק ופסוק.</w:t>
      </w:r>
    </w:p>
    <w:p w14:paraId="7A02F9F5" w14:textId="77777777" w:rsidR="00EE618D" w:rsidRDefault="00EE618D" w:rsidP="00EE618D">
      <w:pPr>
        <w:rPr>
          <w:rtl/>
        </w:rPr>
      </w:pPr>
      <w:r>
        <w:rPr>
          <w:rtl/>
        </w:rPr>
        <w:t>על כל יהודי מוטלת מצות ידיעת התורה כולה</w:t>
      </w:r>
      <w:r>
        <w:rPr>
          <w:rStyle w:val="a5"/>
          <w:rFonts w:ascii="Times New Roman" w:hAnsi="Times New Roman" w:cs="David"/>
          <w:sz w:val="24"/>
          <w:szCs w:val="24"/>
          <w:rtl/>
        </w:rPr>
        <w:footnoteReference w:id="9"/>
      </w:r>
      <w:r>
        <w:rPr>
          <w:rtl/>
        </w:rPr>
        <w:t>, ומבואר בחסידות כי יש לקנות את התורה ולדעתה בעל פה, כפי שמסביר אדמו"ר הזקן את השורש הפנימי של מצות ידיעת התורה:</w:t>
      </w:r>
    </w:p>
    <w:p w14:paraId="5F3C27A2" w14:textId="77777777" w:rsidR="00EE618D" w:rsidRDefault="00EE618D" w:rsidP="00EE618D">
      <w:pPr>
        <w:pStyle w:val="a6"/>
        <w:rPr>
          <w:rtl/>
        </w:rPr>
      </w:pPr>
      <w:r>
        <w:rPr>
          <w:rtl/>
        </w:rPr>
        <w:t>"'והדרת פני זקן'</w:t>
      </w:r>
      <w:r>
        <w:rPr>
          <w:rStyle w:val="a5"/>
          <w:rFonts w:ascii="Times New Roman" w:hAnsi="Times New Roman" w:cs="David"/>
          <w:sz w:val="24"/>
          <w:szCs w:val="24"/>
          <w:rtl/>
        </w:rPr>
        <w:footnoteReference w:id="10"/>
      </w:r>
      <w:r>
        <w:rPr>
          <w:rtl/>
        </w:rPr>
        <w:t xml:space="preserve"> — זה שקנה חכמה"</w:t>
      </w:r>
      <w:r>
        <w:rPr>
          <w:rStyle w:val="a5"/>
          <w:rFonts w:ascii="Times New Roman" w:hAnsi="Times New Roman" w:cs="David"/>
          <w:sz w:val="24"/>
          <w:szCs w:val="24"/>
          <w:rtl/>
        </w:rPr>
        <w:footnoteReference w:id="11"/>
      </w:r>
      <w:r>
        <w:rPr>
          <w:rtl/>
        </w:rPr>
        <w:t>. "שקנה" היינו כמו שכתוב "ותֹפשי התורה"</w:t>
      </w:r>
      <w:r>
        <w:rPr>
          <w:rStyle w:val="a5"/>
          <w:rFonts w:ascii="Times New Roman" w:hAnsi="Times New Roman" w:cs="David"/>
          <w:sz w:val="24"/>
          <w:szCs w:val="24"/>
          <w:rtl/>
        </w:rPr>
        <w:footnoteReference w:id="12"/>
      </w:r>
      <w:r>
        <w:rPr>
          <w:rtl/>
        </w:rPr>
        <w:t>, דהיינו מי שתופס במח הזכרון וחקוק על לוח לבו תמיד... שהקב"ה שוכן עד בקרבו, גם כשעוסק במילי דעלמא, מאחר שהתורה חקוקה במח הזכרון שבנשמתו ועל לבו, ו"אורייתא וקודשא בריך הוא כולא חד"</w:t>
      </w:r>
      <w:r>
        <w:rPr>
          <w:rStyle w:val="a5"/>
          <w:rFonts w:ascii="Times New Roman" w:hAnsi="Times New Roman" w:cs="David"/>
          <w:sz w:val="24"/>
          <w:szCs w:val="24"/>
          <w:rtl/>
        </w:rPr>
        <w:footnoteReference w:id="13"/>
      </w:r>
      <w:r>
        <w:rPr>
          <w:rtl/>
        </w:rPr>
        <w:t>. לזאת כל איש נלבב אשר ידבנו לבו וכלתה לדבקה בו ית' בתמידות, ולהיות ה' שוכן בקרבו תמיד בלי שום הפסק ופירוד לעולם אפילו רגע אחד, יקנה לו התורה במח הזכרון שבנפשו, שאז גם אם עוסק בצרכי הגוף הרי התורה היא בבחינת עלמא דאתכסיא שבנפשו...</w:t>
      </w:r>
      <w:r>
        <w:rPr>
          <w:rStyle w:val="a5"/>
          <w:rFonts w:ascii="Times New Roman" w:hAnsi="Times New Roman" w:cs="David"/>
          <w:sz w:val="24"/>
          <w:szCs w:val="24"/>
          <w:rtl/>
        </w:rPr>
        <w:footnoteReference w:id="14"/>
      </w:r>
    </w:p>
    <w:p w14:paraId="21C966F7" w14:textId="77777777" w:rsidR="00EE618D" w:rsidRDefault="00EE618D" w:rsidP="00EE618D">
      <w:pPr>
        <w:rPr>
          <w:rtl/>
        </w:rPr>
      </w:pPr>
      <w:r>
        <w:rPr>
          <w:rtl/>
        </w:rPr>
        <w:lastRenderedPageBreak/>
        <w:t xml:space="preserve">אמנם, אדמו"ר הזקן ממשיך את דבריו ואומר כי בשל ירידת הדורות הרי שלמרות שהמצוה היא לדעת כל </w:t>
      </w:r>
      <w:r w:rsidRPr="00CE2B46">
        <w:rPr>
          <w:rStyle w:val="a9"/>
          <w:rtl/>
        </w:rPr>
        <w:t>תריג</w:t>
      </w:r>
      <w:r>
        <w:rPr>
          <w:rtl/>
        </w:rPr>
        <w:t xml:space="preserve"> מצוות על פרטיהן ודקדוקיהן — כל התורה ממש — הרי שלענין הידיעה בעל פה יש ללמוד עכ"פ חלקים עיקריים:</w:t>
      </w:r>
    </w:p>
    <w:p w14:paraId="467FE7E6" w14:textId="77777777" w:rsidR="00EE618D" w:rsidRDefault="00EE618D" w:rsidP="00EE618D">
      <w:pPr>
        <w:pStyle w:val="a6"/>
        <w:rPr>
          <w:rtl/>
        </w:rPr>
      </w:pPr>
      <w:r>
        <w:rPr>
          <w:rtl/>
        </w:rPr>
        <w:t>...אך מחמת צוק העתים, וקוצר רוח דעת המשיג, ועומק המושג, על כל פנים לפחות ישתדל לקבל עוז ותעצומות לקנות ולחקוק במח הזכרון שבנפשו ה' חומשי תורת משה, אשר כתב מפי הגבורה, שהן שרש כל התורה שבכתב ושבעל פה כולה, כנודע שרבי עקיבא היה דורש על כל קוץ וקוץ תלי תלים של הלכות</w:t>
      </w:r>
      <w:r>
        <w:rPr>
          <w:rStyle w:val="a5"/>
          <w:rFonts w:ascii="Times New Roman" w:hAnsi="Times New Roman" w:cs="David"/>
          <w:sz w:val="24"/>
          <w:szCs w:val="24"/>
          <w:rtl/>
        </w:rPr>
        <w:footnoteReference w:id="15"/>
      </w:r>
      <w:r>
        <w:rPr>
          <w:rtl/>
        </w:rPr>
        <w:t>, רק שהן בהעלם גדול בעלמא דאתכסיא. ומעלמא דאתגליא, היא תורה שבעל פה, על כל פנים לפחות יקנה ויחקוק סדר קדשים...</w:t>
      </w:r>
    </w:p>
    <w:p w14:paraId="33F0380D" w14:textId="77777777" w:rsidR="00EE618D" w:rsidRDefault="00EE618D" w:rsidP="00EE618D">
      <w:pPr>
        <w:rPr>
          <w:rtl/>
        </w:rPr>
      </w:pPr>
      <w:r>
        <w:rPr>
          <w:rtl/>
        </w:rPr>
        <w:t>והנה, מאז תקופתו של אדמו"ר הזקן פחתו הדורות יותר ויותר, עד שלגבינו גם על הצעתו הפחותה ניתן לומר "אך מחמת צוק העתים, וקוצר רוח דעת המשיג, ועומק המושג". ועוד, במובן מסוים דיבר אדמו"ר הזקן ל"צדיקים" — אלו העוסקים בלימוד התורה באופן הראוי משחר ילדותם. לעומת זאת, דורנו מתאפין בהיותו דור "בעל-תשובה" — כאשר הניגשים אל ה' מתחילים בשלב מאוחר את עבודתם הפנימית האמיתית, ועליהם לחפש 'קיצורי דרך' אמיתיים על מנת להדביק את הפיגור בו הם נמצאים. בדורנו תפקידה של ההתבוננות — הבאה מעולם הבינה, עולם התשובה — הוא לגלות את קיצורי הדרך האמיתיים, כאלו שהם בבחינת "מועט מחזיק את המרובה"</w:t>
      </w:r>
      <w:r>
        <w:rPr>
          <w:rStyle w:val="a5"/>
          <w:rFonts w:ascii="Times New Roman" w:hAnsi="Times New Roman" w:cs="David"/>
          <w:sz w:val="24"/>
          <w:szCs w:val="24"/>
          <w:rtl/>
        </w:rPr>
        <w:footnoteReference w:id="16"/>
      </w:r>
      <w:r>
        <w:rPr>
          <w:rtl/>
        </w:rPr>
        <w:t>.</w:t>
      </w:r>
    </w:p>
    <w:p w14:paraId="21A307DE" w14:textId="77777777" w:rsidR="00EE618D" w:rsidRDefault="00EE618D" w:rsidP="00EE618D">
      <w:pPr>
        <w:rPr>
          <w:rtl/>
        </w:rPr>
      </w:pPr>
      <w:r>
        <w:rPr>
          <w:rtl/>
        </w:rPr>
        <w:t>אדמו"ר הזקן סומך את הכלל המאפשר ללמוד את התורה כולה בעל פה דרך לימוד החומשים, על כך שרבי עקיבא — בעל תשובה בעצמו, אשר זקוק היה להדביק 'פיגור' של ארבעים שנה בלימודו — דורש היה מתורה-שבכתב את הלכות תורה-שבעל-פה כולן. והנה, רבי עקיבא עצמו — בהסתמך על דברי הלל ("ז</w:t>
      </w:r>
      <w:r w:rsidRPr="00CE2B46">
        <w:rPr>
          <w:rStyle w:val="a9"/>
          <w:rtl/>
        </w:rPr>
        <w:t>ה</w:t>
      </w:r>
      <w:r>
        <w:rPr>
          <w:rtl/>
        </w:rPr>
        <w:t xml:space="preserve"> כל</w:t>
      </w:r>
      <w:r w:rsidRPr="00CE2B46">
        <w:rPr>
          <w:rStyle w:val="a9"/>
          <w:rtl/>
        </w:rPr>
        <w:t>ל</w:t>
      </w:r>
      <w:r>
        <w:rPr>
          <w:rtl/>
        </w:rPr>
        <w:t xml:space="preserve"> גדו</w:t>
      </w:r>
      <w:r w:rsidRPr="00CE2B46">
        <w:rPr>
          <w:rStyle w:val="a9"/>
          <w:rtl/>
        </w:rPr>
        <w:t>ל</w:t>
      </w:r>
      <w:r>
        <w:rPr>
          <w:rtl/>
        </w:rPr>
        <w:t xml:space="preserve"> בתור</w:t>
      </w:r>
      <w:r w:rsidRPr="00CE2B46">
        <w:rPr>
          <w:rStyle w:val="a9"/>
          <w:rtl/>
        </w:rPr>
        <w:t>ה</w:t>
      </w:r>
      <w:r>
        <w:rPr>
          <w:rtl/>
        </w:rPr>
        <w:t xml:space="preserve">" ס"ת </w:t>
      </w:r>
      <w:r w:rsidRPr="00CE2B46">
        <w:rPr>
          <w:rStyle w:val="a9"/>
          <w:rtl/>
        </w:rPr>
        <w:t>הלל</w:t>
      </w:r>
      <w:r>
        <w:rPr>
          <w:rtl/>
        </w:rPr>
        <w:t xml:space="preserve"> ישר והפוך!) אשר 'תמצת' את התורה — דרש כי יש בתורה "כלל גדול" אחד, עליו עומדים הדברים כולם.</w:t>
      </w:r>
    </w:p>
    <w:p w14:paraId="06718B85" w14:textId="77777777" w:rsidR="00EE618D" w:rsidRDefault="00EE618D" w:rsidP="00EE618D">
      <w:pPr>
        <w:rPr>
          <w:rtl/>
        </w:rPr>
      </w:pPr>
      <w:r>
        <w:rPr>
          <w:rtl/>
        </w:rPr>
        <w:t xml:space="preserve">[עצם הנכונות להעמיד את התורה על "כלל גדול" נובעת מאהבה אל הזולת, שאיננו נמצא בדרגה גבוהה, ויש לעזור לו להתקרב. רמז להעמדת התורה כולה על "כלל גדול" של אהבה על ידי הלל הזקן ורבי עקיבא רמוזה בכך ששמותיהם </w:t>
      </w:r>
      <w:r w:rsidRPr="00CE2B46">
        <w:rPr>
          <w:rStyle w:val="a9"/>
          <w:rtl/>
        </w:rPr>
        <w:t>הלל עקיבא</w:t>
      </w:r>
      <w:r>
        <w:rPr>
          <w:rtl/>
        </w:rPr>
        <w:t xml:space="preserve"> עולים </w:t>
      </w:r>
      <w:r w:rsidRPr="00CE2B46">
        <w:rPr>
          <w:rStyle w:val="a9"/>
          <w:rtl/>
        </w:rPr>
        <w:t>אברהם</w:t>
      </w:r>
      <w:r>
        <w:rPr>
          <w:rtl/>
        </w:rPr>
        <w:t>, הלא הוא איש מידת האהבה — "אברהם אֹהבי"</w:t>
      </w:r>
      <w:r>
        <w:rPr>
          <w:rStyle w:val="a5"/>
          <w:rFonts w:ascii="Times New Roman" w:hAnsi="Times New Roman" w:cs="David"/>
          <w:sz w:val="24"/>
          <w:szCs w:val="24"/>
          <w:rtl/>
        </w:rPr>
        <w:footnoteReference w:id="17"/>
      </w:r>
      <w:r>
        <w:rPr>
          <w:rtl/>
        </w:rPr>
        <w:t xml:space="preserve"> — אשר עיקר עיסוקו היה לקרב את העולם באהבה לעבודת ה'. ועוד יותר מובהק: </w:t>
      </w:r>
      <w:r w:rsidRPr="00CE2B46">
        <w:rPr>
          <w:rStyle w:val="a9"/>
          <w:rtl/>
        </w:rPr>
        <w:t>כלל</w:t>
      </w:r>
      <w:r>
        <w:rPr>
          <w:rtl/>
        </w:rPr>
        <w:t xml:space="preserve"> במילוי: </w:t>
      </w:r>
      <w:r w:rsidRPr="00CE2B46">
        <w:rPr>
          <w:rStyle w:val="a9"/>
          <w:rtl/>
        </w:rPr>
        <w:t>כף</w:t>
      </w:r>
      <w:r>
        <w:rPr>
          <w:rtl/>
        </w:rPr>
        <w:t xml:space="preserve"> </w:t>
      </w:r>
      <w:r w:rsidRPr="00CE2B46">
        <w:rPr>
          <w:rStyle w:val="a9"/>
          <w:rtl/>
        </w:rPr>
        <w:t>למד</w:t>
      </w:r>
      <w:r>
        <w:rPr>
          <w:rtl/>
        </w:rPr>
        <w:t xml:space="preserve"> </w:t>
      </w:r>
      <w:r w:rsidRPr="00CE2B46">
        <w:rPr>
          <w:rStyle w:val="a9"/>
          <w:rtl/>
        </w:rPr>
        <w:t>למד</w:t>
      </w:r>
      <w:r>
        <w:rPr>
          <w:rtl/>
        </w:rPr>
        <w:t xml:space="preserve"> עולה </w:t>
      </w:r>
      <w:r w:rsidRPr="00CE2B46">
        <w:rPr>
          <w:rStyle w:val="a9"/>
          <w:rtl/>
        </w:rPr>
        <w:t>אברהם</w:t>
      </w:r>
      <w:r>
        <w:rPr>
          <w:rtl/>
        </w:rPr>
        <w:t>, אשר נקרא "האדם ה</w:t>
      </w:r>
      <w:r w:rsidRPr="00EC1A1E">
        <w:rPr>
          <w:rStyle w:val="a8"/>
          <w:rtl/>
        </w:rPr>
        <w:t>גדול</w:t>
      </w:r>
      <w:r>
        <w:rPr>
          <w:rtl/>
        </w:rPr>
        <w:t xml:space="preserve"> בענקים"</w:t>
      </w:r>
      <w:r>
        <w:rPr>
          <w:rStyle w:val="a5"/>
          <w:rFonts w:ascii="Times New Roman" w:hAnsi="Times New Roman" w:cs="David"/>
          <w:sz w:val="24"/>
          <w:szCs w:val="24"/>
          <w:rtl/>
        </w:rPr>
        <w:footnoteReference w:id="18"/>
      </w:r>
      <w:r>
        <w:rPr>
          <w:rtl/>
        </w:rPr>
        <w:t>; הביטוי "</w:t>
      </w:r>
      <w:r w:rsidRPr="00CE2B46">
        <w:rPr>
          <w:rStyle w:val="a9"/>
          <w:rtl/>
        </w:rPr>
        <w:t>חצבה עמודיה</w:t>
      </w:r>
      <w:r>
        <w:rPr>
          <w:rtl/>
        </w:rPr>
        <w:t xml:space="preserve">" המלמד כי ניתן להעמיד את התורה על עמודים מסוימים עולה גם הוא </w:t>
      </w:r>
      <w:r w:rsidRPr="00CE2B46">
        <w:rPr>
          <w:rStyle w:val="a9"/>
          <w:rtl/>
        </w:rPr>
        <w:t>אברהם</w:t>
      </w:r>
      <w:r>
        <w:rPr>
          <w:rtl/>
        </w:rPr>
        <w:t>.]</w:t>
      </w:r>
    </w:p>
    <w:p w14:paraId="4D0225D0" w14:textId="77777777" w:rsidR="00EE618D" w:rsidRDefault="00EE618D" w:rsidP="00EE618D">
      <w:pPr>
        <w:rPr>
          <w:rtl/>
        </w:rPr>
      </w:pPr>
      <w:r>
        <w:rPr>
          <w:rtl/>
        </w:rPr>
        <w:t xml:space="preserve">בספר זה תעסוק ההתבוננות בחשיפת הכללים הגדולים עליהם </w:t>
      </w:r>
      <w:r w:rsidRPr="00CE2B46">
        <w:rPr>
          <w:rtl/>
        </w:rPr>
        <w:t>ניתן</w:t>
      </w:r>
      <w:r>
        <w:rPr>
          <w:rtl/>
        </w:rPr>
        <w:t xml:space="preserve"> להעמיד את התורה כולה — כללים אותם יש לזכור ולחקוק במח, ודרכם לזכות להשראת שכינה תמידית. דוגמה להעמדת פסוקים ומאמרי חז"ל עיקריים אותם יש לדעת בעל פה היא קביעתו של הרבי מליובאוויטש את </w:t>
      </w:r>
      <w:r w:rsidRPr="00CE2B46">
        <w:rPr>
          <w:rStyle w:val="a9"/>
          <w:rtl/>
        </w:rPr>
        <w:t>יב</w:t>
      </w:r>
      <w:r>
        <w:rPr>
          <w:rtl/>
        </w:rPr>
        <w:t xml:space="preserve"> הפסוקים, אותם יש לשנן לילדי ישראל.</w:t>
      </w:r>
    </w:p>
    <w:p w14:paraId="33B01B6E" w14:textId="77777777" w:rsidR="00190CA2" w:rsidRDefault="00190CA2">
      <w:bookmarkStart w:id="1" w:name="_GoBack"/>
      <w:bookmarkEnd w:id="1"/>
    </w:p>
    <w:sectPr w:rsidR="00190CA2" w:rsidSect="00A97C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E8D15" w14:textId="77777777" w:rsidR="00EE618D" w:rsidRDefault="00EE618D" w:rsidP="00EE618D">
      <w:pPr>
        <w:spacing w:after="0" w:line="240" w:lineRule="auto"/>
      </w:pPr>
      <w:r>
        <w:separator/>
      </w:r>
    </w:p>
  </w:endnote>
  <w:endnote w:type="continuationSeparator" w:id="0">
    <w:p w14:paraId="7F62DF2D" w14:textId="77777777" w:rsidR="00EE618D" w:rsidRDefault="00EE618D" w:rsidP="00EE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6DF51" w14:textId="77777777" w:rsidR="00EE618D" w:rsidRDefault="00EE618D" w:rsidP="00EE618D">
      <w:pPr>
        <w:spacing w:after="0" w:line="240" w:lineRule="auto"/>
      </w:pPr>
      <w:r>
        <w:separator/>
      </w:r>
    </w:p>
  </w:footnote>
  <w:footnote w:type="continuationSeparator" w:id="0">
    <w:p w14:paraId="691F849D" w14:textId="77777777" w:rsidR="00EE618D" w:rsidRDefault="00EE618D" w:rsidP="00EE618D">
      <w:pPr>
        <w:spacing w:after="0" w:line="240" w:lineRule="auto"/>
      </w:pPr>
      <w:r>
        <w:continuationSeparator/>
      </w:r>
    </w:p>
  </w:footnote>
  <w:footnote w:id="1">
    <w:p w14:paraId="667174C0" w14:textId="77777777" w:rsidR="00EE618D" w:rsidRDefault="00EE618D" w:rsidP="00EE618D">
      <w:pPr>
        <w:pStyle w:val="a3"/>
      </w:pPr>
      <w:r w:rsidRPr="00E3623E">
        <w:footnoteRef/>
      </w:r>
      <w:r w:rsidRPr="00E3623E">
        <w:rPr>
          <w:rtl/>
        </w:rPr>
        <w:t>.</w:t>
      </w:r>
      <w:r w:rsidRPr="00E3623E">
        <w:rPr>
          <w:rtl/>
        </w:rPr>
        <w:tab/>
      </w:r>
      <w:r>
        <w:rPr>
          <w:rtl/>
        </w:rPr>
        <w:t>שבת לא, א. ראה ביאור יא.</w:t>
      </w:r>
    </w:p>
  </w:footnote>
  <w:footnote w:id="2">
    <w:p w14:paraId="2998E1F0" w14:textId="77777777" w:rsidR="00EE618D" w:rsidRDefault="00EE618D" w:rsidP="00EE618D">
      <w:pPr>
        <w:pStyle w:val="a3"/>
      </w:pPr>
      <w:r w:rsidRPr="00E3623E">
        <w:footnoteRef/>
      </w:r>
      <w:r w:rsidRPr="00E3623E">
        <w:rPr>
          <w:rtl/>
        </w:rPr>
        <w:t>.</w:t>
      </w:r>
      <w:r w:rsidRPr="00E3623E">
        <w:rPr>
          <w:rtl/>
        </w:rPr>
        <w:tab/>
      </w:r>
      <w:r>
        <w:rPr>
          <w:rtl/>
        </w:rPr>
        <w:t>בראשית י, ו.</w:t>
      </w:r>
    </w:p>
  </w:footnote>
  <w:footnote w:id="3">
    <w:p w14:paraId="69207526" w14:textId="77777777" w:rsidR="00EE618D" w:rsidRDefault="00EE618D" w:rsidP="00EE618D">
      <w:pPr>
        <w:pStyle w:val="a3"/>
      </w:pPr>
      <w:r w:rsidRPr="00E3623E">
        <w:footnoteRef/>
      </w:r>
      <w:r w:rsidRPr="00E3623E">
        <w:rPr>
          <w:rtl/>
        </w:rPr>
        <w:t>.</w:t>
      </w:r>
      <w:r w:rsidRPr="00E3623E">
        <w:rPr>
          <w:rtl/>
        </w:rPr>
        <w:tab/>
      </w:r>
      <w:r>
        <w:rPr>
          <w:rtl/>
        </w:rPr>
        <w:t>שם לו, לט.</w:t>
      </w:r>
    </w:p>
  </w:footnote>
  <w:footnote w:id="4">
    <w:p w14:paraId="1D3B1F27" w14:textId="77777777" w:rsidR="00EE618D" w:rsidRDefault="00EE618D" w:rsidP="00EE618D">
      <w:pPr>
        <w:pStyle w:val="a3"/>
      </w:pPr>
      <w:r w:rsidRPr="00E3623E">
        <w:footnoteRef/>
      </w:r>
      <w:r w:rsidRPr="00E3623E">
        <w:rPr>
          <w:rtl/>
        </w:rPr>
        <w:t>.</w:t>
      </w:r>
      <w:r w:rsidRPr="00E3623E">
        <w:rPr>
          <w:rtl/>
        </w:rPr>
        <w:tab/>
      </w:r>
      <w:r>
        <w:rPr>
          <w:rtl/>
        </w:rPr>
        <w:t>שם יב.</w:t>
      </w:r>
    </w:p>
  </w:footnote>
  <w:footnote w:id="5">
    <w:p w14:paraId="0026E7AD" w14:textId="77777777" w:rsidR="00EE618D" w:rsidRDefault="00EE618D" w:rsidP="00EE618D">
      <w:pPr>
        <w:pStyle w:val="a3"/>
      </w:pPr>
      <w:r w:rsidRPr="00E3623E">
        <w:footnoteRef/>
      </w:r>
      <w:r w:rsidRPr="00E3623E">
        <w:rPr>
          <w:rtl/>
        </w:rPr>
        <w:t>.</w:t>
      </w:r>
      <w:r w:rsidRPr="00E3623E">
        <w:rPr>
          <w:rtl/>
        </w:rPr>
        <w:tab/>
      </w:r>
      <w:r>
        <w:rPr>
          <w:rtl/>
        </w:rPr>
        <w:t>שמות כ, ב.</w:t>
      </w:r>
    </w:p>
  </w:footnote>
  <w:footnote w:id="6">
    <w:p w14:paraId="6F92766A" w14:textId="77777777" w:rsidR="00EE618D" w:rsidRDefault="00EE618D" w:rsidP="00EE618D">
      <w:pPr>
        <w:pStyle w:val="a3"/>
      </w:pPr>
      <w:r w:rsidRPr="00E3623E">
        <w:footnoteRef/>
      </w:r>
      <w:r w:rsidRPr="00E3623E">
        <w:rPr>
          <w:rtl/>
        </w:rPr>
        <w:t>.</w:t>
      </w:r>
      <w:r w:rsidRPr="00E3623E">
        <w:rPr>
          <w:rtl/>
        </w:rPr>
        <w:tab/>
      </w:r>
      <w:r>
        <w:rPr>
          <w:rtl/>
        </w:rPr>
        <w:t>דברים ו, ד.</w:t>
      </w:r>
    </w:p>
  </w:footnote>
  <w:footnote w:id="7">
    <w:p w14:paraId="60D5C4E8" w14:textId="77777777" w:rsidR="00EE618D" w:rsidRDefault="00EE618D" w:rsidP="00EE618D">
      <w:pPr>
        <w:pStyle w:val="a3"/>
      </w:pPr>
      <w:r w:rsidRPr="00E3623E">
        <w:footnoteRef/>
      </w:r>
      <w:r w:rsidRPr="00E3623E">
        <w:rPr>
          <w:rtl/>
        </w:rPr>
        <w:t>.</w:t>
      </w:r>
      <w:r w:rsidRPr="00E3623E">
        <w:rPr>
          <w:rtl/>
        </w:rPr>
        <w:tab/>
      </w:r>
      <w:r>
        <w:rPr>
          <w:rtl/>
        </w:rPr>
        <w:t>פירוש המשניות, סנהדרין פ"י מ"א (הקדמת פרק "חלק").</w:t>
      </w:r>
    </w:p>
  </w:footnote>
  <w:footnote w:id="8">
    <w:p w14:paraId="03EFDF03" w14:textId="77777777" w:rsidR="00EE618D" w:rsidRDefault="00EE618D" w:rsidP="00EE618D">
      <w:pPr>
        <w:pStyle w:val="a3"/>
      </w:pPr>
      <w:r w:rsidRPr="00E3623E">
        <w:footnoteRef/>
      </w:r>
      <w:r w:rsidRPr="00E3623E">
        <w:rPr>
          <w:rtl/>
        </w:rPr>
        <w:t>.</w:t>
      </w:r>
      <w:r w:rsidRPr="00E3623E">
        <w:rPr>
          <w:rtl/>
        </w:rPr>
        <w:tab/>
      </w:r>
      <w:r>
        <w:rPr>
          <w:rtl/>
        </w:rPr>
        <w:t>ראה תניא פנ"א.</w:t>
      </w:r>
    </w:p>
  </w:footnote>
  <w:footnote w:id="9">
    <w:p w14:paraId="244B2AB1" w14:textId="77777777" w:rsidR="00EE618D" w:rsidRDefault="00EE618D" w:rsidP="00EE618D">
      <w:pPr>
        <w:pStyle w:val="a3"/>
      </w:pPr>
      <w:r w:rsidRPr="00E3623E">
        <w:footnoteRef/>
      </w:r>
      <w:r w:rsidRPr="00E3623E">
        <w:rPr>
          <w:rtl/>
        </w:rPr>
        <w:t>.</w:t>
      </w:r>
      <w:r w:rsidRPr="00E3623E">
        <w:rPr>
          <w:rtl/>
        </w:rPr>
        <w:tab/>
      </w:r>
      <w:r>
        <w:rPr>
          <w:rtl/>
        </w:rPr>
        <w:t>הלכות ת"ת לאדה"ז פ"ג, קונטרס אחרון ה"א.</w:t>
      </w:r>
    </w:p>
  </w:footnote>
  <w:footnote w:id="10">
    <w:p w14:paraId="72B18F68" w14:textId="77777777" w:rsidR="00EE618D" w:rsidRDefault="00EE618D" w:rsidP="00EE618D">
      <w:pPr>
        <w:pStyle w:val="a3"/>
      </w:pPr>
      <w:r w:rsidRPr="00E3623E">
        <w:footnoteRef/>
      </w:r>
      <w:r w:rsidRPr="00E3623E">
        <w:rPr>
          <w:rtl/>
        </w:rPr>
        <w:t>.</w:t>
      </w:r>
      <w:r w:rsidRPr="00E3623E">
        <w:rPr>
          <w:rtl/>
        </w:rPr>
        <w:tab/>
      </w:r>
      <w:r>
        <w:rPr>
          <w:rtl/>
        </w:rPr>
        <w:t>ויקרא יט, לב.</w:t>
      </w:r>
    </w:p>
  </w:footnote>
  <w:footnote w:id="11">
    <w:p w14:paraId="20D77115" w14:textId="77777777" w:rsidR="00EE618D" w:rsidRDefault="00EE618D" w:rsidP="00EE618D">
      <w:pPr>
        <w:pStyle w:val="a3"/>
      </w:pPr>
      <w:r w:rsidRPr="00E3623E">
        <w:footnoteRef/>
      </w:r>
      <w:r w:rsidRPr="00E3623E">
        <w:rPr>
          <w:rtl/>
        </w:rPr>
        <w:t>.</w:t>
      </w:r>
      <w:r w:rsidRPr="00E3623E">
        <w:rPr>
          <w:rtl/>
        </w:rPr>
        <w:tab/>
      </w:r>
      <w:r>
        <w:rPr>
          <w:rtl/>
        </w:rPr>
        <w:t>עפ"י קדושין לב, ב.</w:t>
      </w:r>
    </w:p>
  </w:footnote>
  <w:footnote w:id="12">
    <w:p w14:paraId="041A067A" w14:textId="77777777" w:rsidR="00EE618D" w:rsidRDefault="00EE618D" w:rsidP="00EE618D">
      <w:pPr>
        <w:pStyle w:val="a3"/>
      </w:pPr>
      <w:r w:rsidRPr="00E3623E">
        <w:footnoteRef/>
      </w:r>
      <w:r w:rsidRPr="00E3623E">
        <w:rPr>
          <w:rtl/>
        </w:rPr>
        <w:t>.</w:t>
      </w:r>
      <w:r w:rsidRPr="00E3623E">
        <w:rPr>
          <w:rtl/>
        </w:rPr>
        <w:tab/>
      </w:r>
      <w:r>
        <w:rPr>
          <w:rtl/>
        </w:rPr>
        <w:t>ירמיה ב, ח.</w:t>
      </w:r>
    </w:p>
  </w:footnote>
  <w:footnote w:id="13">
    <w:p w14:paraId="7577339C" w14:textId="77777777" w:rsidR="00EE618D" w:rsidRDefault="00EE618D" w:rsidP="00EE618D">
      <w:pPr>
        <w:pStyle w:val="a3"/>
      </w:pPr>
      <w:r w:rsidRPr="00E3623E">
        <w:footnoteRef/>
      </w:r>
      <w:r w:rsidRPr="00E3623E">
        <w:rPr>
          <w:rtl/>
        </w:rPr>
        <w:t>.</w:t>
      </w:r>
      <w:r w:rsidRPr="00E3623E">
        <w:rPr>
          <w:rtl/>
        </w:rPr>
        <w:tab/>
      </w:r>
      <w:r>
        <w:rPr>
          <w:rtl/>
        </w:rPr>
        <w:t>עיי' זהר ח"ג פז, ב.</w:t>
      </w:r>
    </w:p>
  </w:footnote>
  <w:footnote w:id="14">
    <w:p w14:paraId="7903D7D6" w14:textId="77777777" w:rsidR="00EE618D" w:rsidRDefault="00EE618D" w:rsidP="00EE618D">
      <w:pPr>
        <w:pStyle w:val="a3"/>
      </w:pPr>
      <w:r w:rsidRPr="00E3623E">
        <w:footnoteRef/>
      </w:r>
      <w:r w:rsidRPr="00E3623E">
        <w:rPr>
          <w:rtl/>
        </w:rPr>
        <w:t>.</w:t>
      </w:r>
      <w:r w:rsidRPr="00E3623E">
        <w:rPr>
          <w:rtl/>
        </w:rPr>
        <w:tab/>
      </w:r>
      <w:r>
        <w:rPr>
          <w:rtl/>
        </w:rPr>
        <w:t>לקו"ת קדושים, ד"ה "והדרת פני זקן".</w:t>
      </w:r>
    </w:p>
  </w:footnote>
  <w:footnote w:id="15">
    <w:p w14:paraId="237C29CD" w14:textId="77777777" w:rsidR="00EE618D" w:rsidRDefault="00EE618D" w:rsidP="00EE618D">
      <w:pPr>
        <w:pStyle w:val="a3"/>
      </w:pPr>
      <w:r w:rsidRPr="00E3623E">
        <w:footnoteRef/>
      </w:r>
      <w:r w:rsidRPr="00E3623E">
        <w:rPr>
          <w:rtl/>
        </w:rPr>
        <w:t>.</w:t>
      </w:r>
      <w:r w:rsidRPr="00E3623E">
        <w:rPr>
          <w:rtl/>
        </w:rPr>
        <w:tab/>
      </w:r>
      <w:r>
        <w:rPr>
          <w:rtl/>
        </w:rPr>
        <w:t>מנחות כט, ב.</w:t>
      </w:r>
    </w:p>
  </w:footnote>
  <w:footnote w:id="16">
    <w:p w14:paraId="6D5C5717" w14:textId="77777777" w:rsidR="00EE618D" w:rsidRDefault="00EE618D" w:rsidP="00EE618D">
      <w:pPr>
        <w:pStyle w:val="a3"/>
      </w:pPr>
      <w:r w:rsidRPr="00E3623E">
        <w:footnoteRef/>
      </w:r>
      <w:r w:rsidRPr="00E3623E">
        <w:rPr>
          <w:rtl/>
        </w:rPr>
        <w:t>.</w:t>
      </w:r>
      <w:r w:rsidRPr="00E3623E">
        <w:rPr>
          <w:rtl/>
        </w:rPr>
        <w:tab/>
      </w:r>
      <w:r>
        <w:rPr>
          <w:rtl/>
        </w:rPr>
        <w:t>ראה סיפורי מעשיות, מעשה מהז' בעטלירס (ביום החמישי).</w:t>
      </w:r>
    </w:p>
  </w:footnote>
  <w:footnote w:id="17">
    <w:p w14:paraId="0A860159" w14:textId="77777777" w:rsidR="00EE618D" w:rsidRDefault="00EE618D" w:rsidP="00EE618D">
      <w:pPr>
        <w:pStyle w:val="a3"/>
      </w:pPr>
      <w:r w:rsidRPr="00E3623E">
        <w:footnoteRef/>
      </w:r>
      <w:r w:rsidRPr="00E3623E">
        <w:rPr>
          <w:rtl/>
        </w:rPr>
        <w:t>.</w:t>
      </w:r>
      <w:r w:rsidRPr="00E3623E">
        <w:rPr>
          <w:rtl/>
        </w:rPr>
        <w:tab/>
      </w:r>
      <w:r>
        <w:rPr>
          <w:rtl/>
        </w:rPr>
        <w:t>ישעיה מא, ח.</w:t>
      </w:r>
    </w:p>
  </w:footnote>
  <w:footnote w:id="18">
    <w:p w14:paraId="51EE6DB3" w14:textId="77777777" w:rsidR="00EE618D" w:rsidRDefault="00EE618D" w:rsidP="00EE618D">
      <w:pPr>
        <w:pStyle w:val="a3"/>
      </w:pPr>
      <w:r w:rsidRPr="00E3623E">
        <w:footnoteRef/>
      </w:r>
      <w:r w:rsidRPr="00E3623E">
        <w:rPr>
          <w:rtl/>
        </w:rPr>
        <w:t>.</w:t>
      </w:r>
      <w:r w:rsidRPr="00E3623E">
        <w:rPr>
          <w:rtl/>
        </w:rPr>
        <w:tab/>
      </w:r>
      <w:r>
        <w:rPr>
          <w:rtl/>
        </w:rPr>
        <w:t>יהושע יד, טו. ראה בראשית רבה פי"ד, 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A2"/>
    <w:rsid w:val="00190CA2"/>
    <w:rsid w:val="00A97C20"/>
    <w:rsid w:val="00EE6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56366-92CE-4775-99CE-59A82709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18D"/>
    <w:pPr>
      <w:bidi/>
      <w:spacing w:after="80" w:line="320" w:lineRule="exact"/>
      <w:jc w:val="both"/>
    </w:pPr>
    <w:rPr>
      <w:rFonts w:eastAsiaTheme="minorEastAsia" w:cs="FrankRuehl"/>
      <w:szCs w:val="26"/>
    </w:rPr>
  </w:style>
  <w:style w:type="paragraph" w:styleId="1">
    <w:name w:val="heading 1"/>
    <w:basedOn w:val="a"/>
    <w:next w:val="a"/>
    <w:link w:val="10"/>
    <w:uiPriority w:val="9"/>
    <w:qFormat/>
    <w:rsid w:val="00EE618D"/>
    <w:pPr>
      <w:keepNext/>
      <w:spacing w:before="240" w:after="60"/>
      <w:outlineLvl w:val="0"/>
    </w:pPr>
    <w:rPr>
      <w:rFonts w:asciiTheme="majorHAnsi" w:eastAsiaTheme="majorEastAsia" w:hAnsiTheme="majorHAnsi" w:cs="Times New Roman"/>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E618D"/>
    <w:rPr>
      <w:rFonts w:asciiTheme="majorHAnsi" w:eastAsiaTheme="majorEastAsia" w:hAnsiTheme="majorHAnsi" w:cs="Times New Roman"/>
      <w:bCs/>
      <w:kern w:val="32"/>
      <w:sz w:val="32"/>
      <w:szCs w:val="32"/>
    </w:rPr>
  </w:style>
  <w:style w:type="paragraph" w:styleId="a3">
    <w:name w:val="footnote text"/>
    <w:basedOn w:val="a"/>
    <w:link w:val="a4"/>
    <w:uiPriority w:val="99"/>
    <w:unhideWhenUsed/>
    <w:rsid w:val="00EE618D"/>
    <w:pPr>
      <w:spacing w:after="0" w:line="260" w:lineRule="exact"/>
      <w:ind w:left="454" w:hanging="454"/>
    </w:pPr>
    <w:rPr>
      <w:sz w:val="20"/>
      <w:szCs w:val="22"/>
    </w:rPr>
  </w:style>
  <w:style w:type="character" w:customStyle="1" w:styleId="a4">
    <w:name w:val="טקסט הערת שוליים תו"/>
    <w:basedOn w:val="a0"/>
    <w:link w:val="a3"/>
    <w:uiPriority w:val="99"/>
    <w:rsid w:val="00EE618D"/>
    <w:rPr>
      <w:rFonts w:eastAsiaTheme="minorEastAsia" w:cs="FrankRuehl"/>
      <w:sz w:val="20"/>
    </w:rPr>
  </w:style>
  <w:style w:type="character" w:styleId="a5">
    <w:name w:val="footnote reference"/>
    <w:basedOn w:val="a0"/>
    <w:uiPriority w:val="99"/>
    <w:semiHidden/>
    <w:unhideWhenUsed/>
    <w:rsid w:val="00EE618D"/>
    <w:rPr>
      <w:rFonts w:cs="Times New Roman"/>
      <w:vertAlign w:val="superscript"/>
    </w:rPr>
  </w:style>
  <w:style w:type="paragraph" w:styleId="a6">
    <w:name w:val="Quote"/>
    <w:basedOn w:val="a"/>
    <w:next w:val="a"/>
    <w:link w:val="a7"/>
    <w:uiPriority w:val="29"/>
    <w:qFormat/>
    <w:rsid w:val="00EE618D"/>
    <w:pPr>
      <w:ind w:left="567"/>
      <w:contextualSpacing/>
    </w:pPr>
    <w:rPr>
      <w:rFonts w:cs="Guttman Vilna"/>
      <w:szCs w:val="20"/>
    </w:rPr>
  </w:style>
  <w:style w:type="character" w:customStyle="1" w:styleId="a7">
    <w:name w:val="ציטוט תו"/>
    <w:basedOn w:val="a0"/>
    <w:link w:val="a6"/>
    <w:uiPriority w:val="29"/>
    <w:rsid w:val="00EE618D"/>
    <w:rPr>
      <w:rFonts w:eastAsiaTheme="minorEastAsia" w:cs="Guttman Vilna"/>
      <w:szCs w:val="20"/>
    </w:rPr>
  </w:style>
  <w:style w:type="character" w:customStyle="1" w:styleId="a8">
    <w:name w:val="אות מיוחדת"/>
    <w:basedOn w:val="a0"/>
    <w:uiPriority w:val="1"/>
    <w:rsid w:val="00EE618D"/>
    <w:rPr>
      <w:rFonts w:ascii="Miriam" w:hAnsi="Miriam" w:cs="Miriam"/>
      <w:sz w:val="21"/>
      <w:szCs w:val="21"/>
    </w:rPr>
  </w:style>
  <w:style w:type="character" w:customStyle="1" w:styleId="a9">
    <w:name w:val="מודגש"/>
    <w:basedOn w:val="a0"/>
    <w:uiPriority w:val="1"/>
    <w:rsid w:val="00EE618D"/>
    <w:rPr>
      <w:rFonts w:cs="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3595</Characters>
  <Application>Microsoft Office Word</Application>
  <DocSecurity>0</DocSecurity>
  <Lines>29</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2018-04-23T18:03:00Z</dcterms:created>
  <dcterms:modified xsi:type="dcterms:W3CDTF">2018-04-23T18:03:00Z</dcterms:modified>
</cp:coreProperties>
</file>