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78F74" w14:textId="77777777" w:rsidR="00C24B75" w:rsidRDefault="00C24B75" w:rsidP="00C24B75">
      <w:pPr>
        <w:pStyle w:val="1"/>
        <w:rPr>
          <w:rtl/>
        </w:rPr>
      </w:pPr>
      <w:bookmarkStart w:id="0" w:name="_Toc500419223"/>
      <w:r>
        <w:rPr>
          <w:rtl/>
        </w:rPr>
        <w:t>ב. על הספר</w:t>
      </w:r>
      <w:bookmarkEnd w:id="0"/>
    </w:p>
    <w:p w14:paraId="19E748C2" w14:textId="77777777" w:rsidR="00C24B75" w:rsidRDefault="00C24B75" w:rsidP="00C24B75">
      <w:pPr>
        <w:pStyle w:val="3"/>
        <w:rPr>
          <w:rtl/>
        </w:rPr>
      </w:pPr>
      <w:bookmarkStart w:id="1" w:name="_Toc500419224"/>
      <w:r>
        <w:rPr>
          <w:rtl/>
        </w:rPr>
        <w:t>יסוד ההתבוננות</w:t>
      </w:r>
      <w:bookmarkEnd w:id="1"/>
    </w:p>
    <w:p w14:paraId="58DEF85E" w14:textId="77777777" w:rsidR="00C24B75" w:rsidRDefault="00C24B75" w:rsidP="00C24B75">
      <w:pPr>
        <w:rPr>
          <w:rtl/>
        </w:rPr>
      </w:pPr>
      <w:r>
        <w:rPr>
          <w:rtl/>
        </w:rPr>
        <w:t xml:space="preserve">ספר זה, כפי שהוקדם, נועד להניח יסודות </w:t>
      </w:r>
      <w:proofErr w:type="spellStart"/>
      <w:r>
        <w:rPr>
          <w:rtl/>
        </w:rPr>
        <w:t>אמיתיים</w:t>
      </w:r>
      <w:proofErr w:type="spellEnd"/>
      <w:r>
        <w:rPr>
          <w:rtl/>
        </w:rPr>
        <w:t xml:space="preserve"> להתבוננות אשר תקרב את האדם אל בוראו. הנחת היסוד של הספר היא, כי הוא נועד להנחות גם ובעיקר את מי שאינו מצוי בנושא ההתבוננות, ומשום כך נערכו הדברים מתוך חלוקה ברורה בין תחומים שונים:</w:t>
      </w:r>
    </w:p>
    <w:p w14:paraId="7CEB0955" w14:textId="77777777" w:rsidR="00C24B75" w:rsidRDefault="00C24B75" w:rsidP="00C24B75">
      <w:pPr>
        <w:rPr>
          <w:rtl/>
        </w:rPr>
      </w:pPr>
      <w:r>
        <w:rPr>
          <w:rtl/>
        </w:rPr>
        <w:t xml:space="preserve">בהקדמת הספר יוסבר מהו המניע הנפשי להתבוננות שבספר. הסבר זה הוא ההסתכלות הראשונה על התוכן בו מתבוננים — התורה כולה — וחשיפת תחושת </w:t>
      </w:r>
      <w:proofErr w:type="spellStart"/>
      <w:r>
        <w:rPr>
          <w:rtl/>
        </w:rPr>
        <w:t>התֹהו</w:t>
      </w:r>
      <w:proofErr w:type="spellEnd"/>
      <w:r>
        <w:rPr>
          <w:rtl/>
        </w:rPr>
        <w:t xml:space="preserve"> בה שרוי המתקרב אל התורה. תחושה זו יוצרת את הצורך והרצון למצוא את רמזי הסדר והמבנה אשר יאפשרו לאדם לחדור אל תוך התורה ולאחוז בה.</w:t>
      </w:r>
    </w:p>
    <w:p w14:paraId="5FD20441" w14:textId="77777777" w:rsidR="00C24B75" w:rsidRDefault="00C24B75" w:rsidP="00C24B75">
      <w:pPr>
        <w:rPr>
          <w:rtl/>
        </w:rPr>
      </w:pPr>
      <w:r>
        <w:rPr>
          <w:rtl/>
        </w:rPr>
        <w:t>חלקו הראשון והעיקרי של הספר עוסק בחמשת הפסוקים הכלליים של התורה, בהבנה מדוע אלו הם כללי התורה, ומהו המבנה והסדר המיוחד שלפיהם הם מסודרים, מתייחסים זה לזה, ולמבני יסוד בתורה.</w:t>
      </w:r>
    </w:p>
    <w:p w14:paraId="16FA0D8E" w14:textId="77777777" w:rsidR="00C24B75" w:rsidRDefault="00C24B75" w:rsidP="00C24B75">
      <w:pPr>
        <w:rPr>
          <w:rtl/>
        </w:rPr>
      </w:pPr>
      <w:r>
        <w:rPr>
          <w:rtl/>
        </w:rPr>
        <w:t xml:space="preserve">בפרק הראשון יונחו יסודות ההתבוננות הראשונים — זיהוי פסוקי ה'מפתח', שהם </w:t>
      </w:r>
      <w:proofErr w:type="spellStart"/>
      <w:r>
        <w:rPr>
          <w:rtl/>
        </w:rPr>
        <w:t>קוי</w:t>
      </w:r>
      <w:proofErr w:type="spellEnd"/>
      <w:r>
        <w:rPr>
          <w:rtl/>
        </w:rPr>
        <w:t xml:space="preserve"> היסוד הרומזים על אפשרות 'לסדר' את התורה ולחדור אל המבנה הפנימי שבה.</w:t>
      </w:r>
    </w:p>
    <w:p w14:paraId="11E6AF32" w14:textId="77777777" w:rsidR="00C24B75" w:rsidRDefault="00C24B75" w:rsidP="00C24B75">
      <w:pPr>
        <w:rPr>
          <w:rtl/>
        </w:rPr>
      </w:pPr>
      <w:r>
        <w:rPr>
          <w:rtl/>
        </w:rPr>
        <w:t>בפרק השני תתגלה החדירה אל הנשמה הפנימית המחיה את המבנה — אל התוכן העמוק העולה ומתבטא מתוך מבנה זה.</w:t>
      </w:r>
    </w:p>
    <w:p w14:paraId="59DBC3E4" w14:textId="77777777" w:rsidR="00C24B75" w:rsidRDefault="00C24B75" w:rsidP="00C24B75">
      <w:pPr>
        <w:rPr>
          <w:rtl/>
        </w:rPr>
      </w:pPr>
      <w:r>
        <w:rPr>
          <w:rtl/>
        </w:rPr>
        <w:t xml:space="preserve">פרקים אלו ממצים את השלבים הראשוניים של ההתבוננות — הבנת המבנה השכלי וכלליו, והרגשת חיותו ונשמתו הכללית. באשר לשלב הבא — תחושת </w:t>
      </w:r>
      <w:proofErr w:type="spellStart"/>
      <w:r>
        <w:rPr>
          <w:rtl/>
        </w:rPr>
        <w:t>האלקות</w:t>
      </w:r>
      <w:proofErr w:type="spellEnd"/>
      <w:r>
        <w:rPr>
          <w:rtl/>
        </w:rPr>
        <w:t xml:space="preserve"> המחיה גם את החיות הפנימית שבדברים — הלא אין הדברים תלויים אלא בקורא. חלק זה הוא החלק ש'אחרי הכריכה', ואנו תקווה כי ימצא הקורא בנפשו את </w:t>
      </w:r>
      <w:proofErr w:type="spellStart"/>
      <w:r>
        <w:rPr>
          <w:rtl/>
        </w:rPr>
        <w:t>הכח</w:t>
      </w:r>
      <w:proofErr w:type="spellEnd"/>
      <w:r>
        <w:rPr>
          <w:rtl/>
        </w:rPr>
        <w:t xml:space="preserve"> להגיע לשלב הבא — לעמידה </w:t>
      </w:r>
      <w:proofErr w:type="spellStart"/>
      <w:r>
        <w:rPr>
          <w:rtl/>
        </w:rPr>
        <w:t>האמיתית</w:t>
      </w:r>
      <w:proofErr w:type="spellEnd"/>
      <w:r>
        <w:rPr>
          <w:rtl/>
        </w:rPr>
        <w:t xml:space="preserve"> אל מול ה' בתפילה ובהשתפכות הנפש.</w:t>
      </w:r>
    </w:p>
    <w:p w14:paraId="5EF6DA8B" w14:textId="77777777" w:rsidR="00C24B75" w:rsidRDefault="00C24B75" w:rsidP="00C24B75">
      <w:pPr>
        <w:pStyle w:val="3"/>
        <w:rPr>
          <w:rtl/>
        </w:rPr>
      </w:pPr>
      <w:bookmarkStart w:id="2" w:name="_Toc500419225"/>
      <w:r>
        <w:rPr>
          <w:rtl/>
        </w:rPr>
        <w:t>תוצאות ההתבוננות</w:t>
      </w:r>
      <w:bookmarkEnd w:id="2"/>
    </w:p>
    <w:p w14:paraId="3F2AE2BC" w14:textId="77777777" w:rsidR="00C24B75" w:rsidRDefault="00C24B75" w:rsidP="00C24B75">
      <w:pPr>
        <w:rPr>
          <w:rtl/>
        </w:rPr>
      </w:pPr>
      <w:r>
        <w:rPr>
          <w:rtl/>
        </w:rPr>
        <w:t xml:space="preserve">בהמשך הספר שני 'עדים' על נכונות ההתבוננות: כפי שהוסבר הרי תוצאותיה של התבוננות </w:t>
      </w:r>
      <w:proofErr w:type="spellStart"/>
      <w:r>
        <w:rPr>
          <w:rtl/>
        </w:rPr>
        <w:t>אמיתית</w:t>
      </w:r>
      <w:proofErr w:type="spellEnd"/>
      <w:r>
        <w:rPr>
          <w:rtl/>
        </w:rPr>
        <w:t xml:space="preserve"> הם תחושת זרימה טובה ורעננה אותה מקרינה החיות שבסדר המבני, ונביעת תולדות והבנות חדשות בתורה ובמציאות מתוך חלקי ההתבוננות.</w:t>
      </w:r>
    </w:p>
    <w:p w14:paraId="6B4910C6" w14:textId="77777777" w:rsidR="00C24B75" w:rsidRDefault="00C24B75" w:rsidP="00C24B75">
      <w:pPr>
        <w:pStyle w:val="a6"/>
        <w:rPr>
          <w:rtl/>
        </w:rPr>
      </w:pPr>
      <w:r>
        <w:rPr>
          <w:rtl/>
        </w:rPr>
        <w:t xml:space="preserve">הפרק השלישי הוא פרק 'השלמה' לשני הפרקים הראשונים: פרק זה יגלה את הקשרים הפנימיים העצמיים שבתוך המבנה — קשרים מתמטיים (ולא </w:t>
      </w:r>
      <w:proofErr w:type="spellStart"/>
      <w:r>
        <w:rPr>
          <w:rtl/>
        </w:rPr>
        <w:t>עיוניים־תוכניים</w:t>
      </w:r>
      <w:proofErr w:type="spellEnd"/>
      <w:r>
        <w:rPr>
          <w:rtl/>
        </w:rPr>
        <w:t xml:space="preserve">) הממחישים את הזרימה הטובה שבתוך מבנה זה. רמזים אינם באים על מנת לחדש </w:t>
      </w:r>
      <w:proofErr w:type="spellStart"/>
      <w:r>
        <w:rPr>
          <w:rtl/>
        </w:rPr>
        <w:t>ענינים</w:t>
      </w:r>
      <w:proofErr w:type="spellEnd"/>
      <w:r>
        <w:rPr>
          <w:rtl/>
        </w:rPr>
        <w:t xml:space="preserve"> או </w:t>
      </w:r>
      <w:proofErr w:type="spellStart"/>
      <w:r>
        <w:rPr>
          <w:rtl/>
        </w:rPr>
        <w:t>להוכיחם</w:t>
      </w:r>
      <w:proofErr w:type="spellEnd"/>
      <w:r>
        <w:rPr>
          <w:rtl/>
        </w:rPr>
        <w:t>, אך רמז מכוון פועל המתקה בנפש</w:t>
      </w:r>
      <w:r>
        <w:rPr>
          <w:rStyle w:val="a5"/>
          <w:rFonts w:ascii="Times New Roman" w:hAnsi="Times New Roman" w:cs="David"/>
          <w:sz w:val="24"/>
          <w:szCs w:val="24"/>
          <w:rtl/>
        </w:rPr>
        <w:footnoteReference w:id="1"/>
      </w:r>
      <w:r>
        <w:rPr>
          <w:rtl/>
        </w:rPr>
        <w:t xml:space="preserve">, כלומר: ראיה מחודשת ומתוקה — שלמה יותר — היוצרת תחושת קשר בנפש אל </w:t>
      </w:r>
      <w:proofErr w:type="spellStart"/>
      <w:r>
        <w:rPr>
          <w:rtl/>
        </w:rPr>
        <w:t>הענין</w:t>
      </w:r>
      <w:proofErr w:type="spellEnd"/>
      <w:r>
        <w:rPr>
          <w:rtl/>
        </w:rPr>
        <w:t xml:space="preserve"> המדובר גם מעבר לפן המשמעות שבו.</w:t>
      </w:r>
    </w:p>
    <w:p w14:paraId="6D156AE5" w14:textId="77777777" w:rsidR="00C24B75" w:rsidRDefault="00C24B75" w:rsidP="00C24B75">
      <w:pPr>
        <w:rPr>
          <w:rtl/>
        </w:rPr>
      </w:pPr>
      <w:r>
        <w:rPr>
          <w:rtl/>
        </w:rPr>
        <w:t xml:space="preserve">חלקו השני של הספר מדגים את ה'עדות' </w:t>
      </w:r>
      <w:proofErr w:type="spellStart"/>
      <w:r>
        <w:rPr>
          <w:rtl/>
        </w:rPr>
        <w:t>השניה</w:t>
      </w:r>
      <w:proofErr w:type="spellEnd"/>
      <w:r>
        <w:rPr>
          <w:rtl/>
        </w:rPr>
        <w:t xml:space="preserve"> על נכונות ההתבוננות: לאחר המאמר הבסיסי אשר נכתב בספר ברצף אחד, תוך שמירה על הקו היסודי בהתבוננות, מופיע חלק של "הוספות וביאורים". חלק זה הוא 'תולדות' הקשרים שבמבנה הבסיסי, הנובעים מכך שהקשרים שבמבנה הנם זיווגים </w:t>
      </w:r>
      <w:proofErr w:type="spellStart"/>
      <w:r>
        <w:rPr>
          <w:rtl/>
        </w:rPr>
        <w:t>אמיתיים</w:t>
      </w:r>
      <w:proofErr w:type="spellEnd"/>
      <w:r>
        <w:rPr>
          <w:rtl/>
        </w:rPr>
        <w:t xml:space="preserve"> הפרים ורבים בדברי תורה ובהבנות עמוקות בנפש האדם. בחלק זה יש </w:t>
      </w:r>
      <w:proofErr w:type="spellStart"/>
      <w:r w:rsidRPr="00CE2B46">
        <w:rPr>
          <w:rStyle w:val="a8"/>
          <w:rtl/>
        </w:rPr>
        <w:t>יג</w:t>
      </w:r>
      <w:proofErr w:type="spellEnd"/>
      <w:r>
        <w:rPr>
          <w:rtl/>
        </w:rPr>
        <w:t xml:space="preserve"> — </w:t>
      </w:r>
      <w:r w:rsidRPr="00CE2B46">
        <w:rPr>
          <w:rStyle w:val="a8"/>
          <w:rtl/>
        </w:rPr>
        <w:t>אהבה</w:t>
      </w:r>
      <w:r>
        <w:rPr>
          <w:rtl/>
        </w:rPr>
        <w:t xml:space="preserve"> — הרחבות והסברים נוספים לדברים — ולעיתים חריגות לתחומים אחרים מנושא ההתבוננות, המאירים מזווית שונה את הנאמר בפנים, ומוארים מן ההתבוננות באור חדש. כך היא טבעה של התבוננות בדרך הנכונה, שהיא הולכת ומתפרטת עד אין סוף.</w:t>
      </w:r>
    </w:p>
    <w:p w14:paraId="69B2D3D7" w14:textId="77777777" w:rsidR="00C24B75" w:rsidRDefault="00C24B75" w:rsidP="00C24B75">
      <w:pPr>
        <w:rPr>
          <w:rtl/>
        </w:rPr>
      </w:pPr>
      <w:r>
        <w:rPr>
          <w:rtl/>
        </w:rPr>
        <w:t xml:space="preserve">הביאור האחרון — ביאור </w:t>
      </w:r>
      <w:proofErr w:type="spellStart"/>
      <w:r w:rsidRPr="00CE2B46">
        <w:rPr>
          <w:rStyle w:val="a8"/>
          <w:rtl/>
        </w:rPr>
        <w:t>יג</w:t>
      </w:r>
      <w:proofErr w:type="spellEnd"/>
      <w:r>
        <w:rPr>
          <w:rtl/>
        </w:rPr>
        <w:t xml:space="preserve">, הארוך והמקיף מכל הביאורים — הוא בעצם חזרה על כל נושאי הספר, החל מנושא ההתבוננות (שבמבוא) דרך ה'מניעים' לכתיבת הספר (המפורטים בהקדמה), תוך סקירת </w:t>
      </w:r>
      <w:r>
        <w:rPr>
          <w:rtl/>
        </w:rPr>
        <w:lastRenderedPageBreak/>
        <w:t xml:space="preserve">ההתבוננות כולה (שבגוף הספר) </w:t>
      </w:r>
      <w:proofErr w:type="spellStart"/>
      <w:r>
        <w:rPr>
          <w:rtl/>
        </w:rPr>
        <w:t>ואיזכור</w:t>
      </w:r>
      <w:proofErr w:type="spellEnd"/>
      <w:r>
        <w:rPr>
          <w:rtl/>
        </w:rPr>
        <w:t xml:space="preserve"> רבים מן הביאורים. בביאור זה מתגלים כל הנושאים שבספר מתוך סוגית המוצא של הספר בגמרא — סוגית הלל והגרים.</w:t>
      </w:r>
    </w:p>
    <w:p w14:paraId="0C75DAAA" w14:textId="77777777" w:rsidR="00C24B75" w:rsidRDefault="00C24B75" w:rsidP="00C24B75">
      <w:pPr>
        <w:pStyle w:val="3"/>
        <w:rPr>
          <w:rtl/>
        </w:rPr>
      </w:pPr>
      <w:bookmarkStart w:id="3" w:name="_Toc500419226"/>
      <w:r>
        <w:rPr>
          <w:rtl/>
        </w:rPr>
        <w:t>על תוכן הספר</w:t>
      </w:r>
      <w:bookmarkEnd w:id="3"/>
    </w:p>
    <w:p w14:paraId="20527364" w14:textId="77777777" w:rsidR="00C24B75" w:rsidRDefault="00C24B75" w:rsidP="00C24B75">
      <w:pPr>
        <w:rPr>
          <w:rtl/>
        </w:rPr>
      </w:pPr>
      <w:r>
        <w:rPr>
          <w:rtl/>
        </w:rPr>
        <w:t>תוכן ההתבוננות שבספר — המיועד ל'מתחילים' — בנוי על פי מספר כללים החשובים למתחילים בדרך ההתבוננות:</w:t>
      </w:r>
    </w:p>
    <w:p w14:paraId="16218FAF" w14:textId="77777777" w:rsidR="00C24B75" w:rsidRDefault="00C24B75" w:rsidP="00C24B75">
      <w:pPr>
        <w:rPr>
          <w:rtl/>
        </w:rPr>
      </w:pPr>
      <w:r>
        <w:rPr>
          <w:rtl/>
        </w:rPr>
        <w:t xml:space="preserve">ראשית, בכדי לממש את מטרתה המכוונת של ההתבוננות — התקרבות אל ה' — חשוב שההתבוננות תאחז בגילויי </w:t>
      </w:r>
      <w:proofErr w:type="spellStart"/>
      <w:r>
        <w:rPr>
          <w:rtl/>
        </w:rPr>
        <w:t>האלקות</w:t>
      </w:r>
      <w:proofErr w:type="spellEnd"/>
      <w:r>
        <w:rPr>
          <w:rtl/>
        </w:rPr>
        <w:t xml:space="preserve"> שבוקעים וחודרים אל תוך המציאות. גילוי </w:t>
      </w:r>
      <w:proofErr w:type="spellStart"/>
      <w:r>
        <w:rPr>
          <w:rtl/>
        </w:rPr>
        <w:t>האלקות</w:t>
      </w:r>
      <w:proofErr w:type="spellEnd"/>
      <w:r>
        <w:rPr>
          <w:rtl/>
        </w:rPr>
        <w:t xml:space="preserve"> העיקרי מופיע באותיות התורה עצמן, שהן המבטאות את דבר ה' המרוכז והמכוון אלינו. בנוסף, מתגלה </w:t>
      </w:r>
      <w:proofErr w:type="spellStart"/>
      <w:r>
        <w:rPr>
          <w:rtl/>
        </w:rPr>
        <w:t>האלקות</w:t>
      </w:r>
      <w:proofErr w:type="spellEnd"/>
      <w:r>
        <w:rPr>
          <w:rtl/>
        </w:rPr>
        <w:t xml:space="preserve"> דרך האור </w:t>
      </w:r>
      <w:proofErr w:type="spellStart"/>
      <w:r>
        <w:rPr>
          <w:rtl/>
        </w:rPr>
        <w:t>האלקי</w:t>
      </w:r>
      <w:proofErr w:type="spellEnd"/>
      <w:r>
        <w:rPr>
          <w:rtl/>
        </w:rPr>
        <w:t xml:space="preserve"> המחיה את המציאות — שכדי "להצליח" להיות משמעותי לעולמות גשמיים ונמוכים כשלנו, עובר הוא את "סדר ההשתלשלות" אותו מבארת הקבלה והחסידות. עולה, כי סדר ההתבוננות הנכון ראוי לו כי יאחז בשני תחומים אלו.</w:t>
      </w:r>
    </w:p>
    <w:p w14:paraId="2091E393" w14:textId="77777777" w:rsidR="00C24B75" w:rsidRDefault="00C24B75" w:rsidP="00C24B75">
      <w:pPr>
        <w:rPr>
          <w:rtl/>
        </w:rPr>
      </w:pPr>
      <w:r>
        <w:rPr>
          <w:rtl/>
        </w:rPr>
        <w:t xml:space="preserve">והנה, כאשר נמצא אדם בשלב 'מתקדם' בהתקרבותו </w:t>
      </w:r>
      <w:proofErr w:type="spellStart"/>
      <w:r>
        <w:rPr>
          <w:rtl/>
        </w:rPr>
        <w:t>לאלקות</w:t>
      </w:r>
      <w:proofErr w:type="spellEnd"/>
      <w:r>
        <w:rPr>
          <w:rtl/>
        </w:rPr>
        <w:t xml:space="preserve"> ובעיסוקו בהתבוננות, הוא מסוגל לעסוק בהתבוננות '</w:t>
      </w:r>
      <w:proofErr w:type="spellStart"/>
      <w:r>
        <w:rPr>
          <w:rtl/>
        </w:rPr>
        <w:t>ענינית</w:t>
      </w:r>
      <w:proofErr w:type="spellEnd"/>
      <w:r>
        <w:rPr>
          <w:rtl/>
        </w:rPr>
        <w:t xml:space="preserve">' בתוכן פרטי ומסוים — ולאו </w:t>
      </w:r>
      <w:proofErr w:type="spellStart"/>
      <w:r>
        <w:rPr>
          <w:rtl/>
        </w:rPr>
        <w:t>דוקא</w:t>
      </w:r>
      <w:proofErr w:type="spellEnd"/>
      <w:r>
        <w:rPr>
          <w:rtl/>
        </w:rPr>
        <w:t xml:space="preserve"> כזה הקשור ישירות בפסוקי התורה — משום שהפסוקים כולם משמשים לו ממילא כרקע להתבוננות ונמצאים בתודעתו. לעומתו, המתחיל זקוק להיאחז ממש בתורה עצמה — ויותר מכך: אל לו להסתפק בהתבוננות נקודתית בפרט מסוים בתורה, ועליו להתבונן על התורה כולה. כך גם ביחס ל"סדר ההשתלשלות" — ה'משכיל' ה'מתקדם', אשר כל סדר ההשתלשלות שגור במוחו, יכול להתבונן במדרגה פרטית מתוך סדר זה, משום שכל סדר ההשתלשלות משמש לו כרקע תמידי. לעומת זאת, על ה'מתחיל' להתבונן התבוננות אשר מקיפה את סדר ההשתלשלות כולו.</w:t>
      </w:r>
    </w:p>
    <w:p w14:paraId="17D43E52" w14:textId="77777777" w:rsidR="00C24B75" w:rsidRDefault="00C24B75" w:rsidP="00C24B75">
      <w:pPr>
        <w:rPr>
          <w:rtl/>
        </w:rPr>
      </w:pPr>
      <w:r>
        <w:rPr>
          <w:rtl/>
        </w:rPr>
        <w:t xml:space="preserve">אמנם, מאידך, על האדם להינצל מחשש נוסף — לבל תהיה התבוננותו 'כללית' בלבד, כאמור לעיל. חשש זה </w:t>
      </w:r>
      <w:proofErr w:type="spellStart"/>
      <w:r>
        <w:rPr>
          <w:rtl/>
        </w:rPr>
        <w:t>מלוה</w:t>
      </w:r>
      <w:proofErr w:type="spellEnd"/>
      <w:r>
        <w:rPr>
          <w:rtl/>
        </w:rPr>
        <w:t xml:space="preserve"> כל </w:t>
      </w:r>
      <w:proofErr w:type="spellStart"/>
      <w:r>
        <w:rPr>
          <w:rtl/>
        </w:rPr>
        <w:t>נסיון</w:t>
      </w:r>
      <w:proofErr w:type="spellEnd"/>
      <w:r>
        <w:rPr>
          <w:rtl/>
        </w:rPr>
        <w:t xml:space="preserve"> בדרך קירוב הרחוקים — דרכו של הלל הזקן — מתוך ההבנה כי כל מבנה המעמיד את כל התורה "על רגל אחת" (ובלשון הזהר: "חד סמכא"</w:t>
      </w:r>
      <w:r>
        <w:rPr>
          <w:rStyle w:val="a5"/>
          <w:rFonts w:ascii="Times New Roman" w:hAnsi="Times New Roman" w:cs="David"/>
          <w:sz w:val="24"/>
          <w:szCs w:val="24"/>
          <w:rtl/>
        </w:rPr>
        <w:footnoteReference w:id="2"/>
      </w:r>
      <w:r>
        <w:rPr>
          <w:rtl/>
        </w:rPr>
        <w:t>) הוא מבנה שאיננו יציב, והוא עלול ליפול.</w:t>
      </w:r>
    </w:p>
    <w:p w14:paraId="446780F1" w14:textId="77777777" w:rsidR="00C24B75" w:rsidRDefault="00C24B75" w:rsidP="00C24B75">
      <w:pPr>
        <w:rPr>
          <w:rtl/>
        </w:rPr>
      </w:pPr>
      <w:r>
        <w:rPr>
          <w:rtl/>
        </w:rPr>
        <w:t xml:space="preserve">משום כך, גם על ה'מתחיל' לא להסתפק ב"כלל גדול" אחד, ועליו לחפש "כללים גדולים בתורה". הדברים אמורים גם ביחס ל"סדר ההשתלשלות" — למרות </w:t>
      </w:r>
      <w:proofErr w:type="spellStart"/>
      <w:r>
        <w:rPr>
          <w:rtl/>
        </w:rPr>
        <w:t>הנסיון</w:t>
      </w:r>
      <w:proofErr w:type="spellEnd"/>
      <w:r>
        <w:rPr>
          <w:rtl/>
        </w:rPr>
        <w:t xml:space="preserve"> לאחוז במבנה כולו בכלליות, יש להבין בדרך פרטית את השלבים העיקריים במבנה. על פי הבנה זו מיוסדת ההתבוננות בספר על המבנה הכולל והשלם ביותר של סדר השתלשלות — שם הוי' ב"ה, ו"כללי התורה" שבספר נאחזים לא רק על "רגל אחת" אלא על חמש רגליים (הנזכרות בתורה בשבעה פסוקים — "שבעה עמודים", כנאמר על תורתנו הקדושה: "חצבה עמודיה שבעה"</w:t>
      </w:r>
      <w:r>
        <w:rPr>
          <w:rStyle w:val="a5"/>
          <w:rFonts w:ascii="Times New Roman" w:hAnsi="Times New Roman" w:cs="David"/>
          <w:sz w:val="24"/>
          <w:szCs w:val="24"/>
          <w:rtl/>
        </w:rPr>
        <w:footnoteReference w:id="3"/>
      </w:r>
      <w:r>
        <w:rPr>
          <w:rtl/>
        </w:rPr>
        <w:t>).</w:t>
      </w:r>
    </w:p>
    <w:p w14:paraId="51CA7D62" w14:textId="77777777" w:rsidR="00C24B75" w:rsidRDefault="00C24B75" w:rsidP="00C24B75">
      <w:pPr>
        <w:rPr>
          <w:rtl/>
        </w:rPr>
      </w:pPr>
      <w:r>
        <w:rPr>
          <w:rtl/>
        </w:rPr>
        <w:t xml:space="preserve">מבנה הספר מיוסד על מבנה של חמשה פסוקים כלליים בתורה, פסוק אחד מכל חומש (מחומש במדבר יחידה אחת בעלת שלשה פסוקים), המבטאים נושאים כלליים בתורה. היחס ביניהם הוא של זרימה עולה </w:t>
      </w:r>
      <w:proofErr w:type="spellStart"/>
      <w:r>
        <w:rPr>
          <w:rtl/>
        </w:rPr>
        <w:t>מההתיחסות</w:t>
      </w:r>
      <w:proofErr w:type="spellEnd"/>
      <w:r>
        <w:rPr>
          <w:rtl/>
        </w:rPr>
        <w:t xml:space="preserve"> של נשמות ישראל לבריאה הגשמית, ועד </w:t>
      </w:r>
      <w:proofErr w:type="spellStart"/>
      <w:r>
        <w:rPr>
          <w:rtl/>
        </w:rPr>
        <w:t>ליחודן</w:t>
      </w:r>
      <w:proofErr w:type="spellEnd"/>
      <w:r>
        <w:rPr>
          <w:rtl/>
        </w:rPr>
        <w:t xml:space="preserve"> העליון בעצמות ה' יתברך.</w:t>
      </w:r>
    </w:p>
    <w:p w14:paraId="3B9E1C76" w14:textId="77777777" w:rsidR="00B66AEB" w:rsidRDefault="00B66AEB">
      <w:bookmarkStart w:id="4" w:name="_GoBack"/>
      <w:bookmarkEnd w:id="4"/>
    </w:p>
    <w:sectPr w:rsidR="00B66AEB" w:rsidSect="00A97C2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DAA4E" w14:textId="77777777" w:rsidR="00C24B75" w:rsidRDefault="00C24B75" w:rsidP="00C24B75">
      <w:pPr>
        <w:spacing w:after="0" w:line="240" w:lineRule="auto"/>
      </w:pPr>
      <w:r>
        <w:separator/>
      </w:r>
    </w:p>
  </w:endnote>
  <w:endnote w:type="continuationSeparator" w:id="0">
    <w:p w14:paraId="703CAF22" w14:textId="77777777" w:rsidR="00C24B75" w:rsidRDefault="00C24B75" w:rsidP="00C24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Guttman Vilna">
    <w:panose1 w:val="02010401010101010101"/>
    <w:charset w:val="B1"/>
    <w:family w:val="auto"/>
    <w:pitch w:val="variable"/>
    <w:sig w:usb0="00000801" w:usb1="40000000" w:usb2="00000000" w:usb3="00000000" w:csb0="00000020"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93CA1" w14:textId="77777777" w:rsidR="00C24B75" w:rsidRDefault="00C24B75" w:rsidP="00C24B75">
      <w:pPr>
        <w:spacing w:after="0" w:line="240" w:lineRule="auto"/>
      </w:pPr>
      <w:r>
        <w:separator/>
      </w:r>
    </w:p>
  </w:footnote>
  <w:footnote w:type="continuationSeparator" w:id="0">
    <w:p w14:paraId="7C21C700" w14:textId="77777777" w:rsidR="00C24B75" w:rsidRDefault="00C24B75" w:rsidP="00C24B75">
      <w:pPr>
        <w:spacing w:after="0" w:line="240" w:lineRule="auto"/>
      </w:pPr>
      <w:r>
        <w:continuationSeparator/>
      </w:r>
    </w:p>
  </w:footnote>
  <w:footnote w:id="1">
    <w:p w14:paraId="6038FEA7" w14:textId="77777777" w:rsidR="00C24B75" w:rsidRDefault="00C24B75" w:rsidP="00C24B75">
      <w:pPr>
        <w:pStyle w:val="a3"/>
      </w:pPr>
      <w:r w:rsidRPr="008A6B29">
        <w:footnoteRef/>
      </w:r>
      <w:r w:rsidRPr="008A6B29">
        <w:rPr>
          <w:rtl/>
        </w:rPr>
        <w:t>.</w:t>
      </w:r>
      <w:r w:rsidRPr="008A6B29">
        <w:rPr>
          <w:rtl/>
        </w:rPr>
        <w:tab/>
      </w:r>
      <w:r>
        <w:rPr>
          <w:rtl/>
        </w:rPr>
        <w:t xml:space="preserve">ראה לקו"ש </w:t>
      </w:r>
      <w:proofErr w:type="spellStart"/>
      <w:r>
        <w:rPr>
          <w:rtl/>
        </w:rPr>
        <w:t>ח"ג</w:t>
      </w:r>
      <w:proofErr w:type="spellEnd"/>
      <w:r>
        <w:rPr>
          <w:rtl/>
        </w:rPr>
        <w:t xml:space="preserve"> עמ' 874.</w:t>
      </w:r>
    </w:p>
  </w:footnote>
  <w:footnote w:id="2">
    <w:p w14:paraId="058E35A5" w14:textId="77777777" w:rsidR="00C24B75" w:rsidRDefault="00C24B75" w:rsidP="00C24B75">
      <w:pPr>
        <w:pStyle w:val="a3"/>
      </w:pPr>
      <w:r w:rsidRPr="008A6B29">
        <w:footnoteRef/>
      </w:r>
      <w:r w:rsidRPr="008A6B29">
        <w:rPr>
          <w:rtl/>
        </w:rPr>
        <w:t>.</w:t>
      </w:r>
      <w:r w:rsidRPr="008A6B29">
        <w:rPr>
          <w:rtl/>
        </w:rPr>
        <w:tab/>
      </w:r>
      <w:r>
        <w:rPr>
          <w:rtl/>
        </w:rPr>
        <w:t xml:space="preserve">זהר </w:t>
      </w:r>
      <w:proofErr w:type="spellStart"/>
      <w:r>
        <w:rPr>
          <w:rtl/>
        </w:rPr>
        <w:t>ח"ג</w:t>
      </w:r>
      <w:proofErr w:type="spellEnd"/>
      <w:r>
        <w:rPr>
          <w:rtl/>
        </w:rPr>
        <w:t xml:space="preserve"> </w:t>
      </w:r>
      <w:proofErr w:type="spellStart"/>
      <w:r>
        <w:rPr>
          <w:rtl/>
        </w:rPr>
        <w:t>קכז</w:t>
      </w:r>
      <w:proofErr w:type="spellEnd"/>
      <w:r>
        <w:rPr>
          <w:rtl/>
        </w:rPr>
        <w:t>, ב.</w:t>
      </w:r>
    </w:p>
  </w:footnote>
  <w:footnote w:id="3">
    <w:p w14:paraId="3BACC0C6" w14:textId="77777777" w:rsidR="00C24B75" w:rsidRDefault="00C24B75" w:rsidP="00C24B75">
      <w:pPr>
        <w:pStyle w:val="a3"/>
      </w:pPr>
      <w:r w:rsidRPr="008A6B29">
        <w:footnoteRef/>
      </w:r>
      <w:r w:rsidRPr="008A6B29">
        <w:rPr>
          <w:rtl/>
        </w:rPr>
        <w:t>.</w:t>
      </w:r>
      <w:r w:rsidRPr="008A6B29">
        <w:rPr>
          <w:rtl/>
        </w:rPr>
        <w:tab/>
      </w:r>
      <w:r>
        <w:rPr>
          <w:rtl/>
        </w:rPr>
        <w:t>משלי ט, א.</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AEB"/>
    <w:rsid w:val="00A97C20"/>
    <w:rsid w:val="00B66AEB"/>
    <w:rsid w:val="00C24B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B0D609-8832-4CDE-B430-D6B3311A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24B75"/>
    <w:pPr>
      <w:bidi/>
      <w:spacing w:after="80" w:line="320" w:lineRule="exact"/>
      <w:jc w:val="both"/>
    </w:pPr>
    <w:rPr>
      <w:rFonts w:eastAsiaTheme="minorEastAsia" w:cs="FrankRuehl"/>
      <w:szCs w:val="26"/>
    </w:rPr>
  </w:style>
  <w:style w:type="paragraph" w:styleId="1">
    <w:name w:val="heading 1"/>
    <w:basedOn w:val="a"/>
    <w:next w:val="a"/>
    <w:link w:val="10"/>
    <w:uiPriority w:val="9"/>
    <w:qFormat/>
    <w:rsid w:val="00C24B75"/>
    <w:pPr>
      <w:keepNext/>
      <w:spacing w:before="240" w:after="60"/>
      <w:outlineLvl w:val="0"/>
    </w:pPr>
    <w:rPr>
      <w:rFonts w:asciiTheme="majorHAnsi" w:eastAsiaTheme="majorEastAsia" w:hAnsiTheme="majorHAnsi" w:cs="Times New Roman"/>
      <w:bCs/>
      <w:kern w:val="32"/>
      <w:sz w:val="32"/>
      <w:szCs w:val="32"/>
    </w:rPr>
  </w:style>
  <w:style w:type="paragraph" w:styleId="3">
    <w:name w:val="heading 3"/>
    <w:basedOn w:val="a"/>
    <w:next w:val="a"/>
    <w:link w:val="30"/>
    <w:uiPriority w:val="9"/>
    <w:semiHidden/>
    <w:unhideWhenUsed/>
    <w:qFormat/>
    <w:rsid w:val="00C24B75"/>
    <w:pPr>
      <w:keepNext/>
      <w:spacing w:before="240" w:after="60"/>
      <w:outlineLvl w:val="2"/>
    </w:pPr>
    <w:rPr>
      <w:rFonts w:asciiTheme="majorHAnsi" w:eastAsiaTheme="majorEastAsia" w:hAnsiTheme="majorHAnsi" w:cs="Times New Roman"/>
      <w:b/>
      <w:bCs/>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24B75"/>
    <w:rPr>
      <w:rFonts w:asciiTheme="majorHAnsi" w:eastAsiaTheme="majorEastAsia" w:hAnsiTheme="majorHAnsi" w:cs="Times New Roman"/>
      <w:bCs/>
      <w:kern w:val="32"/>
      <w:sz w:val="32"/>
      <w:szCs w:val="32"/>
    </w:rPr>
  </w:style>
  <w:style w:type="character" w:customStyle="1" w:styleId="30">
    <w:name w:val="כותרת 3 תו"/>
    <w:basedOn w:val="a0"/>
    <w:link w:val="3"/>
    <w:uiPriority w:val="9"/>
    <w:semiHidden/>
    <w:rsid w:val="00C24B75"/>
    <w:rPr>
      <w:rFonts w:asciiTheme="majorHAnsi" w:eastAsiaTheme="majorEastAsia" w:hAnsiTheme="majorHAnsi" w:cs="Times New Roman"/>
      <w:b/>
      <w:bCs/>
      <w:sz w:val="26"/>
      <w:szCs w:val="26"/>
    </w:rPr>
  </w:style>
  <w:style w:type="paragraph" w:styleId="a3">
    <w:name w:val="footnote text"/>
    <w:basedOn w:val="a"/>
    <w:link w:val="a4"/>
    <w:uiPriority w:val="99"/>
    <w:unhideWhenUsed/>
    <w:rsid w:val="00C24B75"/>
    <w:pPr>
      <w:spacing w:after="0" w:line="260" w:lineRule="exact"/>
      <w:ind w:left="454" w:hanging="454"/>
    </w:pPr>
    <w:rPr>
      <w:sz w:val="20"/>
      <w:szCs w:val="22"/>
    </w:rPr>
  </w:style>
  <w:style w:type="character" w:customStyle="1" w:styleId="a4">
    <w:name w:val="טקסט הערת שוליים תו"/>
    <w:basedOn w:val="a0"/>
    <w:link w:val="a3"/>
    <w:uiPriority w:val="99"/>
    <w:rsid w:val="00C24B75"/>
    <w:rPr>
      <w:rFonts w:eastAsiaTheme="minorEastAsia" w:cs="FrankRuehl"/>
      <w:sz w:val="20"/>
    </w:rPr>
  </w:style>
  <w:style w:type="character" w:styleId="a5">
    <w:name w:val="footnote reference"/>
    <w:basedOn w:val="a0"/>
    <w:uiPriority w:val="99"/>
    <w:semiHidden/>
    <w:unhideWhenUsed/>
    <w:rsid w:val="00C24B75"/>
    <w:rPr>
      <w:rFonts w:cs="Times New Roman"/>
      <w:vertAlign w:val="superscript"/>
    </w:rPr>
  </w:style>
  <w:style w:type="paragraph" w:styleId="a6">
    <w:name w:val="Quote"/>
    <w:basedOn w:val="a"/>
    <w:next w:val="a"/>
    <w:link w:val="a7"/>
    <w:uiPriority w:val="29"/>
    <w:qFormat/>
    <w:rsid w:val="00C24B75"/>
    <w:pPr>
      <w:ind w:left="567"/>
      <w:contextualSpacing/>
    </w:pPr>
    <w:rPr>
      <w:rFonts w:cs="Guttman Vilna"/>
      <w:szCs w:val="20"/>
    </w:rPr>
  </w:style>
  <w:style w:type="character" w:customStyle="1" w:styleId="a7">
    <w:name w:val="ציטוט תו"/>
    <w:basedOn w:val="a0"/>
    <w:link w:val="a6"/>
    <w:uiPriority w:val="29"/>
    <w:rsid w:val="00C24B75"/>
    <w:rPr>
      <w:rFonts w:eastAsiaTheme="minorEastAsia" w:cs="Guttman Vilna"/>
      <w:szCs w:val="20"/>
    </w:rPr>
  </w:style>
  <w:style w:type="character" w:customStyle="1" w:styleId="a8">
    <w:name w:val="מודגש"/>
    <w:basedOn w:val="a0"/>
    <w:uiPriority w:val="1"/>
    <w:rsid w:val="00C24B75"/>
    <w:rPr>
      <w:rFonts w:cs="Times New Roman"/>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807</Words>
  <Characters>4038</Characters>
  <Application>Microsoft Office Word</Application>
  <DocSecurity>0</DocSecurity>
  <Lines>33</Lines>
  <Paragraphs>9</Paragraphs>
  <ScaleCrop>false</ScaleCrop>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2018-04-23T17:52:00Z</dcterms:created>
  <dcterms:modified xsi:type="dcterms:W3CDTF">2018-04-23T17:54:00Z</dcterms:modified>
</cp:coreProperties>
</file>