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D87" w:rsidRPr="00153D87" w:rsidRDefault="00153D87" w:rsidP="00153D87">
      <w:pPr>
        <w:keepNext/>
        <w:spacing w:before="360" w:after="240" w:line="400" w:lineRule="exact"/>
        <w:contextualSpacing/>
        <w:jc w:val="center"/>
        <w:outlineLvl w:val="2"/>
        <w:rPr>
          <w:rFonts w:ascii="Times New Roman" w:eastAsia="Times New Roman" w:hAnsi="Times New Roman" w:cs="Guttman Vilna" w:hint="cs"/>
          <w:bCs/>
          <w:noProof/>
          <w:szCs w:val="30"/>
          <w:rtl/>
          <w:lang w:eastAsia="he-IL"/>
        </w:rPr>
      </w:pPr>
      <w:bookmarkStart w:id="0" w:name="_Toc254800191"/>
      <w:bookmarkStart w:id="1" w:name="_Ref254801642"/>
      <w:bookmarkStart w:id="2" w:name="_Toc254802099"/>
      <w:r w:rsidRPr="00153D87">
        <w:rPr>
          <w:rFonts w:ascii="Times New Roman" w:eastAsia="Times New Roman" w:hAnsi="Times New Roman" w:cs="Guttman Vilna" w:hint="cs"/>
          <w:bCs/>
          <w:noProof/>
          <w:szCs w:val="30"/>
          <w:rtl/>
          <w:lang w:eastAsia="he-IL"/>
        </w:rPr>
        <w:t>שפיטת הטבע וטבע יהודי</w:t>
      </w:r>
      <w:bookmarkEnd w:id="0"/>
      <w:bookmarkEnd w:id="1"/>
      <w:bookmarkEnd w:id="2"/>
    </w:p>
    <w:p w:rsidR="00153D87" w:rsidRPr="00153D87" w:rsidRDefault="00153D87" w:rsidP="00153D87">
      <w:pPr>
        <w:spacing w:before="60" w:after="60" w:line="350" w:lineRule="exact"/>
        <w:jc w:val="both"/>
        <w:rPr>
          <w:rFonts w:ascii="Times New Roman" w:eastAsia="Times New Roman" w:hAnsi="Times New Roman" w:cs="oprFrank" w:hint="cs"/>
          <w:noProof/>
          <w:szCs w:val="27"/>
          <w:rtl/>
          <w:lang w:eastAsia="he-IL"/>
        </w:rPr>
      </w:pPr>
      <w:r w:rsidRPr="00153D87">
        <w:rPr>
          <w:rFonts w:ascii="Times New Roman" w:eastAsia="Times New Roman" w:hAnsi="Times New Roman" w:cs="oprFrank" w:hint="cs"/>
          <w:noProof/>
          <w:szCs w:val="27"/>
          <w:rtl/>
          <w:lang w:eastAsia="he-IL"/>
        </w:rPr>
        <w:t>אמנם עיון נוסף במבנה יתן לנו פתח נוסף להבין את ההבדל בין רכותו של משפט ישראל לנטייתו של המשפט הגויי להתערב, ודרך פתח זה גם תבוא הצדקה לגישה הגויית, כל עוד עוסקת היא בגויים:</w:t>
      </w:r>
    </w:p>
    <w:p w:rsidR="00153D87" w:rsidRPr="00153D87" w:rsidRDefault="00153D87" w:rsidP="00153D87">
      <w:pPr>
        <w:spacing w:before="60" w:after="60" w:line="350" w:lineRule="exact"/>
        <w:jc w:val="both"/>
        <w:rPr>
          <w:rFonts w:ascii="Times New Roman" w:eastAsia="Times New Roman" w:hAnsi="Times New Roman" w:cs="oprFrank" w:hint="cs"/>
          <w:noProof/>
          <w:szCs w:val="27"/>
          <w:rtl/>
          <w:lang w:eastAsia="he-IL"/>
        </w:rPr>
      </w:pPr>
      <w:r w:rsidRPr="00153D87">
        <w:rPr>
          <w:rFonts w:ascii="Times New Roman" w:eastAsia="Times New Roman" w:hAnsi="Times New Roman" w:cs="oprFrank" w:hint="cs"/>
          <w:noProof/>
          <w:szCs w:val="27"/>
          <w:rtl/>
          <w:lang w:eastAsia="he-IL"/>
        </w:rPr>
        <w:t>מתוך שש האפשרויות, השלש שכנגד ה</w:t>
      </w:r>
      <w:r w:rsidRPr="00153D87">
        <w:rPr>
          <w:rFonts w:ascii="Times New Roman" w:eastAsia="Times New Roman" w:hAnsi="Times New Roman" w:cs="MiriamMFO"/>
          <w:noProof/>
          <w:rtl/>
          <w:lang w:eastAsia="he-IL"/>
        </w:rPr>
        <w:t xml:space="preserve">נה"י </w:t>
      </w:r>
      <w:r w:rsidRPr="00153D87">
        <w:rPr>
          <w:rFonts w:ascii="Times New Roman" w:eastAsia="Times New Roman" w:hAnsi="Times New Roman" w:cs="oprFrank" w:hint="cs"/>
          <w:noProof/>
          <w:szCs w:val="27"/>
          <w:rtl/>
          <w:lang w:eastAsia="he-IL"/>
        </w:rPr>
        <w:t>(נצח הוד יסוד) – כל דאלים גבר, יהא מונח, יחלוקו בשבועה – הריהן כנגד ה</w:t>
      </w:r>
      <w:r w:rsidRPr="00153D87">
        <w:rPr>
          <w:rFonts w:ascii="Times New Roman" w:eastAsia="Times New Roman" w:hAnsi="Times New Roman" w:cs="MiriamMFO"/>
          <w:noProof/>
          <w:rtl/>
          <w:lang w:eastAsia="he-IL"/>
        </w:rPr>
        <w:t>מוטבע</w:t>
      </w:r>
      <w:r w:rsidRPr="00153D87">
        <w:rPr>
          <w:rFonts w:ascii="Times New Roman" w:eastAsia="Times New Roman" w:hAnsi="Times New Roman" w:cs="oprFrank" w:hint="cs"/>
          <w:noProof/>
          <w:szCs w:val="27"/>
          <w:rtl/>
          <w:lang w:eastAsia="he-IL"/>
        </w:rPr>
        <w:t xml:space="preserve"> שבנפש. והנה שלשתן אינן רק גישות שכליות שונות כיצד לנהוג כשאין יודעים לפשוט את הספק – כמו בשלש האפשרויות העליונות: שודא דדייני, מוחזק ויחלוקו בלא שבועה – אלא הן שיטות לעודד וויתור של הרמאי שקיים, או שמסתבר שקיים, בכל אחד משלשת המצבים. כאשר אומרים כי "כל דאלים גבר" יש סיכוי שהרמאי יאמר – כדברי הרא"ש – "מה בצע שאמסור נפשי, היום או למחר יביא ראיה ויוציאנה מידי". כאשר אומרים "יהא מונח", לפי ר' יוסי האומר שגם הסכום שאינו שנוי במחלוקת יהא מונח, הרי דבריו מפורשים שעושים זאת כדי שיפסיד הרמאי מרמאותו ויודה; אבל גם לפי רבנן, הסוברים שרק המנה השנוי במחלוקת יהא מונח, אפשר שאין כאן רק הסתלקות מהכרעה, אלא גם עידוד להודות. זאת לפי שמסתבר שהרמאי קיווה שיפסקו כי "יחלוקו", וכאשר נכזבת תוחלתו, מה לו להמשיך להפסיד חברו כאשר הוא עצמו אינו מרוויח</w:t>
      </w:r>
      <w:r w:rsidRPr="00153D87">
        <w:rPr>
          <w:rFonts w:ascii="Times New Roman" w:eastAsia="Times New Roman" w:hAnsi="Times New Roman" w:cs="oprFrank"/>
          <w:noProof/>
          <w:position w:val="-5"/>
          <w:szCs w:val="27"/>
          <w:vertAlign w:val="superscript"/>
          <w:rtl/>
          <w:lang w:eastAsia="he-IL"/>
        </w:rPr>
        <w:footnoteReference w:id="1"/>
      </w:r>
      <w:r w:rsidRPr="00153D87">
        <w:rPr>
          <w:rFonts w:ascii="Times New Roman" w:eastAsia="Times New Roman" w:hAnsi="Times New Roman" w:cs="oprFrank" w:hint="cs"/>
          <w:noProof/>
          <w:szCs w:val="27"/>
          <w:rtl/>
          <w:lang w:eastAsia="he-IL"/>
        </w:rPr>
        <w:t>. כאשר אומרים שיחלוקו בשבועה, הרי ברור שמקווים כי מי שחשוד על ממון אינו חשוד על השבועה, ולפיכך זה שאחז שלא כדין יוותר.</w:t>
      </w:r>
    </w:p>
    <w:p w:rsidR="00153D87" w:rsidRPr="00153D87" w:rsidRDefault="00153D87" w:rsidP="00153D87">
      <w:pPr>
        <w:spacing w:before="60" w:after="60" w:line="350" w:lineRule="exact"/>
        <w:jc w:val="both"/>
        <w:rPr>
          <w:rFonts w:ascii="Times New Roman" w:eastAsia="Times New Roman" w:hAnsi="Times New Roman" w:cs="oprFrank" w:hint="cs"/>
          <w:noProof/>
          <w:szCs w:val="27"/>
          <w:rtl/>
          <w:lang w:eastAsia="he-IL"/>
        </w:rPr>
      </w:pPr>
      <w:r w:rsidRPr="00153D87">
        <w:rPr>
          <w:rFonts w:ascii="Times New Roman" w:eastAsia="Times New Roman" w:hAnsi="Times New Roman" w:cs="oprFrank" w:hint="cs"/>
          <w:noProof/>
          <w:szCs w:val="27"/>
          <w:rtl/>
          <w:lang w:eastAsia="he-IL"/>
        </w:rPr>
        <w:t>הרי לנו שהסתלקות בית הדין במקרים הללו נשענת על אמונו ב</w:t>
      </w:r>
      <w:r w:rsidRPr="00153D87">
        <w:rPr>
          <w:rFonts w:ascii="Times New Roman" w:eastAsia="Times New Roman" w:hAnsi="Times New Roman" w:cs="MiriamMFO"/>
          <w:noProof/>
          <w:rtl/>
          <w:lang w:eastAsia="he-IL"/>
        </w:rPr>
        <w:t>טבע</w:t>
      </w:r>
      <w:r w:rsidRPr="00153D87">
        <w:rPr>
          <w:rFonts w:ascii="Times New Roman" w:eastAsia="Times New Roman" w:hAnsi="Times New Roman" w:cs="oprFrank" w:hint="cs"/>
          <w:noProof/>
          <w:szCs w:val="27"/>
          <w:rtl/>
          <w:lang w:eastAsia="he-IL"/>
        </w:rPr>
        <w:t xml:space="preserve"> הטוב של היהודי, בכך שיצרו השיאו למה שאינו לפי טבעו, והפסק שניתן יגרום ליצר להרפות ממנו. לעומת זאת, אצל הגויים אין לצפות להתעוררות חיובית כזאת בעקבות הסתלקות בין הדין מלהתערב, ועל כן, בעולם שהוא ג'ונגל, עצם הסדר הוא תיקון לעומת בליעת איש את רעהו.</w:t>
      </w:r>
    </w:p>
    <w:p w:rsidR="005F4A47" w:rsidRDefault="0073650F">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50F" w:rsidRDefault="0073650F" w:rsidP="00153D87">
      <w:pPr>
        <w:spacing w:after="0" w:line="240" w:lineRule="auto"/>
      </w:pPr>
      <w:r>
        <w:separator/>
      </w:r>
    </w:p>
  </w:endnote>
  <w:endnote w:type="continuationSeparator" w:id="0">
    <w:p w:rsidR="0073650F" w:rsidRDefault="0073650F" w:rsidP="00153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oprFrank">
    <w:altName w:val="Courier New"/>
    <w:charset w:val="00"/>
    <w:family w:val="auto"/>
    <w:pitch w:val="variable"/>
    <w:sig w:usb0="00000000" w:usb1="00000000" w:usb2="00000000" w:usb3="00000000" w:csb0="00000021"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50F" w:rsidRDefault="0073650F" w:rsidP="00153D87">
      <w:pPr>
        <w:spacing w:after="0" w:line="240" w:lineRule="auto"/>
      </w:pPr>
      <w:r>
        <w:separator/>
      </w:r>
    </w:p>
  </w:footnote>
  <w:footnote w:type="continuationSeparator" w:id="0">
    <w:p w:rsidR="0073650F" w:rsidRDefault="0073650F" w:rsidP="00153D87">
      <w:pPr>
        <w:spacing w:after="0" w:line="240" w:lineRule="auto"/>
      </w:pPr>
      <w:r>
        <w:continuationSeparator/>
      </w:r>
    </w:p>
  </w:footnote>
  <w:footnote w:id="1">
    <w:p w:rsidR="00153D87" w:rsidRPr="007A71EB" w:rsidRDefault="00153D87" w:rsidP="00153D87">
      <w:pPr>
        <w:pStyle w:val="a3"/>
      </w:pPr>
      <w:r w:rsidRPr="007A71EB">
        <w:rPr>
          <w:rFonts w:hint="cs"/>
          <w:rtl/>
        </w:rPr>
        <w:tab/>
      </w:r>
      <w:r w:rsidRPr="007A71EB">
        <w:rPr>
          <w:rtl/>
        </w:rPr>
        <w:footnoteRef/>
      </w:r>
      <w:r w:rsidRPr="007A71EB">
        <w:rPr>
          <w:rFonts w:hint="cs"/>
          <w:rtl/>
        </w:rPr>
        <w:t>.</w:t>
      </w:r>
      <w:r w:rsidRPr="007A71EB">
        <w:rPr>
          <w:rFonts w:hint="cs"/>
          <w:rtl/>
        </w:rPr>
        <w:tab/>
        <w:t xml:space="preserve">לפי זה, "עד שיבוא אליהו" – שהתפרש לעיל כי ממתינים עד יערה רוח ממרום – יתפרש כאן: עד שיבוא לרמאי הרהור תשובה (בחינת "בינה – תשובה – עד הוד – הודאה באמת – </w:t>
      </w:r>
      <w:proofErr w:type="spellStart"/>
      <w:r w:rsidRPr="007A71EB">
        <w:rPr>
          <w:rFonts w:hint="cs"/>
          <w:rtl/>
        </w:rPr>
        <w:t>אתפשטת</w:t>
      </w:r>
      <w:proofErr w:type="spellEnd"/>
      <w:r w:rsidRPr="007A71EB">
        <w:rPr>
          <w:rFonts w:hint="cs"/>
          <w:rtl/>
        </w:rPr>
        <w:t xml:space="preserve">"), וזהו תיקון עמוק יותר מזה של ר' יוסי, אשר עצתו היא פרגמטית מעיקרה. אף אפשר להוסיף ברוח זו כי לדעת חכמים אין להרגיז את היצר הרע יותר מדי, ושיטת ר' יוסי תביא את הרמאי לנצחנות </w:t>
      </w:r>
      <w:proofErr w:type="spellStart"/>
      <w:r w:rsidRPr="007A71EB">
        <w:rPr>
          <w:rFonts w:hint="cs"/>
          <w:rtl/>
        </w:rPr>
        <w:t>ול"תמות</w:t>
      </w:r>
      <w:proofErr w:type="spellEnd"/>
      <w:r w:rsidRPr="007A71EB">
        <w:rPr>
          <w:rFonts w:hint="cs"/>
          <w:rtl/>
        </w:rPr>
        <w:t xml:space="preserve"> נפשי עם </w:t>
      </w:r>
      <w:proofErr w:type="spellStart"/>
      <w:r w:rsidRPr="007A71EB">
        <w:rPr>
          <w:rFonts w:hint="cs"/>
          <w:rtl/>
        </w:rPr>
        <w:t>פלשתים</w:t>
      </w:r>
      <w:proofErr w:type="spellEnd"/>
      <w:r w:rsidRPr="007A71EB">
        <w:rPr>
          <w:rFonts w:hint="cs"/>
          <w:rtl/>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AC9"/>
    <w:rsid w:val="00061E65"/>
    <w:rsid w:val="00103AC9"/>
    <w:rsid w:val="00153D87"/>
    <w:rsid w:val="0073650F"/>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153D87"/>
    <w:pPr>
      <w:spacing w:after="0" w:line="240" w:lineRule="auto"/>
    </w:pPr>
    <w:rPr>
      <w:sz w:val="20"/>
      <w:szCs w:val="20"/>
    </w:rPr>
  </w:style>
  <w:style w:type="character" w:customStyle="1" w:styleId="a4">
    <w:name w:val="טקסט הערת שוליים תו"/>
    <w:basedOn w:val="a0"/>
    <w:link w:val="a3"/>
    <w:uiPriority w:val="99"/>
    <w:semiHidden/>
    <w:rsid w:val="00153D87"/>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153D87"/>
    <w:pPr>
      <w:spacing w:after="0" w:line="240" w:lineRule="auto"/>
    </w:pPr>
    <w:rPr>
      <w:sz w:val="20"/>
      <w:szCs w:val="20"/>
    </w:rPr>
  </w:style>
  <w:style w:type="character" w:customStyle="1" w:styleId="a4">
    <w:name w:val="טקסט הערת שוליים תו"/>
    <w:basedOn w:val="a0"/>
    <w:link w:val="a3"/>
    <w:uiPriority w:val="99"/>
    <w:semiHidden/>
    <w:rsid w:val="0015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1220</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2017-07-12T10:54:00Z</dcterms:created>
  <dcterms:modified xsi:type="dcterms:W3CDTF">2017-07-12T10:54:00Z</dcterms:modified>
</cp:coreProperties>
</file>