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028" w:rsidRPr="00710028" w:rsidRDefault="00710028" w:rsidP="00710028">
      <w:pPr>
        <w:keepNext/>
        <w:pageBreakBefore/>
        <w:spacing w:before="600" w:after="0" w:line="480" w:lineRule="exact"/>
        <w:jc w:val="center"/>
        <w:outlineLvl w:val="1"/>
        <w:rPr>
          <w:rFonts w:ascii="Times New Roman" w:eastAsia="Times New Roman" w:hAnsi="Times New Roman" w:cs="IW_Shalom" w:hint="cs"/>
          <w:noProof/>
          <w:spacing w:val="60"/>
          <w:sz w:val="14"/>
          <w:szCs w:val="30"/>
          <w:rtl/>
          <w:lang w:eastAsia="he-IL"/>
        </w:rPr>
      </w:pPr>
      <w:bookmarkStart w:id="0" w:name="_Toc254800194"/>
      <w:bookmarkStart w:id="1" w:name="_Toc254802102"/>
      <w:r w:rsidRPr="00710028">
        <w:rPr>
          <w:rFonts w:ascii="Times New Roman" w:eastAsia="Times New Roman" w:hAnsi="Times New Roman" w:cs="IW_Shalom" w:hint="cs"/>
          <w:noProof/>
          <w:spacing w:val="60"/>
          <w:sz w:val="14"/>
          <w:szCs w:val="30"/>
          <w:rtl/>
          <w:lang w:eastAsia="he-IL"/>
        </w:rPr>
        <w:t>נספח ב</w:t>
      </w:r>
      <w:bookmarkEnd w:id="0"/>
      <w:bookmarkEnd w:id="1"/>
    </w:p>
    <w:p w:rsidR="00710028" w:rsidRPr="00710028" w:rsidRDefault="00710028" w:rsidP="00710028">
      <w:pPr>
        <w:keepNext/>
        <w:spacing w:before="240" w:after="240" w:line="480" w:lineRule="exact"/>
        <w:jc w:val="center"/>
        <w:outlineLvl w:val="1"/>
        <w:rPr>
          <w:rFonts w:ascii="Times New Roman" w:eastAsia="Times New Roman" w:hAnsi="Times New Roman" w:cs="IW_Shalom" w:hint="cs"/>
          <w:b/>
          <w:noProof/>
          <w:sz w:val="42"/>
          <w:szCs w:val="40"/>
          <w:rtl/>
          <w:lang w:eastAsia="he-IL"/>
        </w:rPr>
      </w:pPr>
      <w:bookmarkStart w:id="2" w:name="_Toc254800195"/>
      <w:bookmarkStart w:id="3" w:name="_Ref254801648"/>
      <w:bookmarkStart w:id="4" w:name="_Toc254802103"/>
      <w:r w:rsidRPr="00710028">
        <w:rPr>
          <w:rFonts w:ascii="Times New Roman" w:eastAsia="Times New Roman" w:hAnsi="Times New Roman" w:cs="IW_Shalom" w:hint="cs"/>
          <w:b/>
          <w:noProof/>
          <w:sz w:val="42"/>
          <w:szCs w:val="40"/>
          <w:rtl/>
          <w:lang w:eastAsia="he-IL"/>
        </w:rPr>
        <w:t>מקומה והגדרתה של המסכת בתוך</w:t>
      </w:r>
      <w:r w:rsidRPr="00710028">
        <w:rPr>
          <w:rFonts w:ascii="Times New Roman" w:eastAsia="Times New Roman" w:hAnsi="Times New Roman" w:cs="Times New Roman" w:hint="eastAsia"/>
          <w:b/>
          <w:noProof/>
          <w:sz w:val="42"/>
          <w:szCs w:val="40"/>
          <w:rtl/>
          <w:lang w:eastAsia="he-IL"/>
        </w:rPr>
        <w:t> </w:t>
      </w:r>
      <w:r w:rsidRPr="00710028">
        <w:rPr>
          <w:rFonts w:ascii="Times New Roman" w:eastAsia="Times New Roman" w:hAnsi="Times New Roman" w:cs="IW_Shalom" w:hint="cs"/>
          <w:b/>
          <w:noProof/>
          <w:sz w:val="42"/>
          <w:szCs w:val="40"/>
          <w:rtl/>
          <w:lang w:eastAsia="he-IL"/>
        </w:rPr>
        <w:t>מסכת</w:t>
      </w:r>
      <w:r w:rsidRPr="00710028">
        <w:rPr>
          <w:rFonts w:ascii="Times New Roman" w:eastAsia="Times New Roman" w:hAnsi="Times New Roman" w:cs="Times New Roman" w:hint="eastAsia"/>
          <w:b/>
          <w:noProof/>
          <w:sz w:val="42"/>
          <w:szCs w:val="40"/>
          <w:rtl/>
          <w:lang w:eastAsia="he-IL"/>
        </w:rPr>
        <w:t> </w:t>
      </w:r>
      <w:r w:rsidRPr="00710028">
        <w:rPr>
          <w:rFonts w:ascii="Times New Roman" w:eastAsia="Times New Roman" w:hAnsi="Times New Roman" w:cs="IW_Shalom" w:hint="cs"/>
          <w:b/>
          <w:noProof/>
          <w:sz w:val="42"/>
          <w:szCs w:val="40"/>
          <w:rtl/>
          <w:lang w:eastAsia="he-IL"/>
        </w:rPr>
        <w:t>נזיקין</w:t>
      </w:r>
      <w:bookmarkEnd w:id="2"/>
      <w:bookmarkEnd w:id="3"/>
      <w:bookmarkEnd w:id="4"/>
    </w:p>
    <w:p w:rsidR="00710028" w:rsidRPr="00710028" w:rsidRDefault="00710028" w:rsidP="00710028">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5" w:name="_Toc254800196"/>
      <w:bookmarkStart w:id="6" w:name="_Toc254802104"/>
      <w:r w:rsidRPr="00710028">
        <w:rPr>
          <w:rFonts w:ascii="Times New Roman" w:eastAsia="Times New Roman" w:hAnsi="Times New Roman" w:cs="Guttman Vilna" w:hint="cs"/>
          <w:bCs/>
          <w:noProof/>
          <w:szCs w:val="30"/>
          <w:rtl/>
          <w:lang w:eastAsia="he-IL"/>
        </w:rPr>
        <w:t>חלוקת מסכת נזיקין לשלש בבות</w:t>
      </w:r>
      <w:bookmarkEnd w:id="5"/>
      <w:bookmarkEnd w:id="6"/>
    </w:p>
    <w:p w:rsidR="00710028" w:rsidRPr="00710028" w:rsidRDefault="00710028" w:rsidP="00710028">
      <w:pPr>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הדעה הרווחת, וכן קבע הרמב"ם, כי נזיקין מסכת אחת היא, ומחולקת לשלש מסכתות: בבא קמא, בבא מציעא, בבא בתרא – שבכל אחת עשרה פרקים (וכן מצאנו חלוקה כזאת ממש בתוספתא בין שלשים הפרקים של מסכת כלים, וגם בסדר עולם בין שלשים פרקיו). בספר הון עשיר מפורש שחלוקה זו היא כנגד שלשת העולמות התחתונים – עשיה, יצירה, בריאה – מלמטה למעלה (כל אחד משלשת העולמות התחתונים הוא בחינת "עלמא דפרודא", אך הפירוד פוחת והולך ככל שעולים בעולמות – בעולם העשיה פותחת מסכת בבא קמא ב"ארבעה אבות נזיקין", בעולם היצירה מצטמצמים ל"שנים אוחזין בטלית" הנאבקים זה בזה, ואילו בעולם הבריאה השנים הם כבר "השותפין", ודוק)</w:t>
      </w:r>
      <w:r w:rsidRPr="00710028">
        <w:rPr>
          <w:rFonts w:ascii="Times New Roman" w:eastAsia="Times New Roman" w:hAnsi="Times New Roman" w:cs="oprFrank"/>
          <w:noProof/>
          <w:position w:val="-5"/>
          <w:szCs w:val="27"/>
          <w:vertAlign w:val="superscript"/>
          <w:rtl/>
          <w:lang w:eastAsia="he-IL"/>
        </w:rPr>
        <w:footnoteReference w:id="1"/>
      </w:r>
      <w:r w:rsidRPr="00710028">
        <w:rPr>
          <w:rFonts w:ascii="Times New Roman" w:eastAsia="Times New Roman" w:hAnsi="Times New Roman" w:cs="oprFrank" w:hint="cs"/>
          <w:noProof/>
          <w:szCs w:val="27"/>
          <w:rtl/>
          <w:lang w:eastAsia="he-IL"/>
        </w:rPr>
        <w:t>. אף בחסידות נתבאר פעמים רבות, על פי כתבי האריז"ל, כי המספר שלשים רומז לשלשים כלי המלכות דאצילות, כאשר עשרת הכלים הפנימיים יורדים ונהיים נשמה לעולם הבריאה, עשרת הכלים האמצעיים יורדים ונהיים נשמה לעולם היצירה, ועשרת הכלים החיצוניים יורדים ונהיים נשמה לעולם העשיה. הרי לנו כי מסכת בבא מציעא עוסקת בתיקון עולם היצירה המורגש בנפשו של האדם במידות וברגש (ובכתבי האריז"ל מוסבר כי את עולם הבריאה מאיר ומחיה שם א-ל ש-די, את עולם היצירה שם א-ל הוי', ואת עולם העשיה שם א-ל א-דני; הרי לנו כי שם הוי', שם הרחמים, הוא המתגלה בכליו של עולם זה).</w:t>
      </w:r>
    </w:p>
    <w:p w:rsidR="00710028" w:rsidRPr="00710028" w:rsidRDefault="00710028" w:rsidP="00710028">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7" w:name="_Toc254800197"/>
      <w:bookmarkStart w:id="8" w:name="_Toc254802105"/>
      <w:r w:rsidRPr="00710028">
        <w:rPr>
          <w:rFonts w:ascii="Times New Roman" w:eastAsia="Times New Roman" w:hAnsi="Times New Roman" w:cs="Guttman Vilna" w:hint="cs"/>
          <w:bCs/>
          <w:noProof/>
          <w:szCs w:val="30"/>
          <w:rtl/>
          <w:lang w:eastAsia="he-IL"/>
        </w:rPr>
        <w:t>סור מרע ועשה טוב בקש שלום ורדפהו</w:t>
      </w:r>
      <w:bookmarkEnd w:id="7"/>
      <w:bookmarkEnd w:id="8"/>
    </w:p>
    <w:p w:rsidR="00710028" w:rsidRPr="00710028" w:rsidRDefault="00710028" w:rsidP="00710028">
      <w:pPr>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 xml:space="preserve">על שלש הבבות ראוי לדרוש: </w:t>
      </w:r>
      <w:r w:rsidRPr="00710028">
        <w:rPr>
          <w:rFonts w:ascii="Times New Roman" w:eastAsia="Times New Roman" w:hAnsi="Times New Roman" w:cs="MiriamMFO"/>
          <w:noProof/>
          <w:rtl/>
          <w:lang w:eastAsia="he-IL"/>
        </w:rPr>
        <w:t>סור מרע, עשה טוב, בקש שלום ורדפהו</w:t>
      </w:r>
      <w:r w:rsidRPr="00710028">
        <w:rPr>
          <w:rFonts w:ascii="Times New Roman" w:eastAsia="Times New Roman" w:hAnsi="Times New Roman" w:cs="oprFrank" w:hint="cs"/>
          <w:noProof/>
          <w:szCs w:val="27"/>
          <w:rtl/>
          <w:lang w:eastAsia="he-IL"/>
        </w:rPr>
        <w:t xml:space="preserve">. </w:t>
      </w:r>
    </w:p>
    <w:p w:rsidR="00710028" w:rsidRPr="00710028" w:rsidRDefault="00710028" w:rsidP="00710028">
      <w:pPr>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 xml:space="preserve">מסכת </w:t>
      </w:r>
      <w:r w:rsidRPr="00710028">
        <w:rPr>
          <w:rFonts w:ascii="Times New Roman" w:eastAsia="Times New Roman" w:hAnsi="Times New Roman" w:cs="MiriamMFO"/>
          <w:noProof/>
          <w:rtl/>
          <w:lang w:eastAsia="he-IL"/>
        </w:rPr>
        <w:t>בבא קמא</w:t>
      </w:r>
      <w:r w:rsidRPr="00710028">
        <w:rPr>
          <w:rFonts w:ascii="Times New Roman" w:eastAsia="Times New Roman" w:hAnsi="Times New Roman" w:cs="oprFrank" w:hint="cs"/>
          <w:noProof/>
          <w:szCs w:val="27"/>
          <w:rtl/>
          <w:lang w:eastAsia="he-IL"/>
        </w:rPr>
        <w:t xml:space="preserve"> עוסקת בעיקרה באחריות על נזיקין ובהרחקתם. עולם ה</w:t>
      </w:r>
      <w:r w:rsidRPr="00710028">
        <w:rPr>
          <w:rFonts w:ascii="Times New Roman" w:eastAsia="Times New Roman" w:hAnsi="Times New Roman" w:cs="MiriamMFO"/>
          <w:noProof/>
          <w:rtl/>
          <w:lang w:eastAsia="he-IL"/>
        </w:rPr>
        <w:t>עשיה</w:t>
      </w:r>
      <w:r w:rsidRPr="00710028">
        <w:rPr>
          <w:rFonts w:ascii="Times New Roman" w:eastAsia="Times New Roman" w:hAnsi="Times New Roman" w:cs="oprFrank" w:hint="cs"/>
          <w:noProof/>
          <w:szCs w:val="27"/>
          <w:rtl/>
          <w:lang w:eastAsia="he-IL"/>
        </w:rPr>
        <w:t xml:space="preserve"> "רובו רע", ועיקר התיקון בעולם </w:t>
      </w:r>
      <w:r w:rsidRPr="00710028">
        <w:rPr>
          <w:rFonts w:ascii="Times New Roman" w:eastAsia="Times New Roman" w:hAnsi="Times New Roman" w:cs="oprFrank" w:hint="cs"/>
          <w:noProof/>
          <w:szCs w:val="27"/>
          <w:rtl/>
          <w:lang w:eastAsia="he-IL"/>
        </w:rPr>
        <w:lastRenderedPageBreak/>
        <w:t>המעשה הוא להנצל מהתהו והכאוס הטמון לפתחו. בעולם של 'ישים' נפרדים התיקון מתחיל באובייקטיביות, בתשומת הלב לכך שלא רק ישותי קיימת – "אני ואפסי עוד"</w:t>
      </w:r>
      <w:r w:rsidRPr="00710028">
        <w:rPr>
          <w:rFonts w:ascii="Times New Roman" w:eastAsia="Times New Roman" w:hAnsi="Times New Roman" w:cs="oprFrank"/>
          <w:noProof/>
          <w:position w:val="-5"/>
          <w:szCs w:val="27"/>
          <w:vertAlign w:val="superscript"/>
          <w:rtl/>
          <w:lang w:eastAsia="he-IL"/>
        </w:rPr>
        <w:footnoteReference w:id="2"/>
      </w:r>
      <w:r w:rsidRPr="00710028">
        <w:rPr>
          <w:rFonts w:ascii="Times New Roman" w:eastAsia="Times New Roman" w:hAnsi="Times New Roman" w:cs="oprFrank" w:hint="cs"/>
          <w:noProof/>
          <w:szCs w:val="27"/>
          <w:rtl/>
          <w:lang w:eastAsia="he-IL"/>
        </w:rPr>
        <w:t xml:space="preserve"> – אלא כולם נבראו ולכולם 'זכות קיום'.</w:t>
      </w:r>
    </w:p>
    <w:p w:rsidR="00710028" w:rsidRPr="00710028" w:rsidRDefault="00710028" w:rsidP="00710028">
      <w:pPr>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עולם ה</w:t>
      </w:r>
      <w:r w:rsidRPr="00710028">
        <w:rPr>
          <w:rFonts w:ascii="Times New Roman" w:eastAsia="Times New Roman" w:hAnsi="Times New Roman" w:cs="MiriamMFO"/>
          <w:noProof/>
          <w:rtl/>
          <w:lang w:eastAsia="he-IL"/>
        </w:rPr>
        <w:t>יצירה</w:t>
      </w:r>
      <w:r w:rsidRPr="00710028">
        <w:rPr>
          <w:rFonts w:ascii="Times New Roman" w:eastAsia="Times New Roman" w:hAnsi="Times New Roman" w:cs="oprFrank" w:hint="cs"/>
          <w:noProof/>
          <w:szCs w:val="27"/>
          <w:rtl/>
          <w:lang w:eastAsia="he-IL"/>
        </w:rPr>
        <w:t xml:space="preserve"> הוא שקול ושניים אוחזים בו (ה</w:t>
      </w:r>
      <w:r w:rsidRPr="00710028">
        <w:rPr>
          <w:rFonts w:ascii="Times New Roman" w:eastAsia="Times New Roman" w:hAnsi="Times New Roman" w:cs="MiriamMFO"/>
          <w:noProof/>
          <w:rtl/>
          <w:lang w:eastAsia="he-IL"/>
        </w:rPr>
        <w:t>יצר</w:t>
      </w:r>
      <w:r w:rsidRPr="00710028">
        <w:rPr>
          <w:rFonts w:ascii="Times New Roman" w:eastAsia="Times New Roman" w:hAnsi="Times New Roman" w:cs="oprFrank" w:hint="cs"/>
          <w:noProof/>
          <w:szCs w:val="27"/>
          <w:rtl/>
          <w:lang w:eastAsia="he-IL"/>
        </w:rPr>
        <w:t xml:space="preserve"> הטוב וה</w:t>
      </w:r>
      <w:r w:rsidRPr="00710028">
        <w:rPr>
          <w:rFonts w:ascii="Times New Roman" w:eastAsia="Times New Roman" w:hAnsi="Times New Roman" w:cs="MiriamMFO"/>
          <w:noProof/>
          <w:rtl/>
          <w:lang w:eastAsia="he-IL"/>
        </w:rPr>
        <w:t>יצר</w:t>
      </w:r>
      <w:r w:rsidRPr="00710028">
        <w:rPr>
          <w:rFonts w:ascii="Times New Roman" w:eastAsia="Times New Roman" w:hAnsi="Times New Roman" w:cs="oprFrank" w:hint="cs"/>
          <w:noProof/>
          <w:szCs w:val="27"/>
          <w:rtl/>
          <w:lang w:eastAsia="he-IL"/>
        </w:rPr>
        <w:t xml:space="preserve"> הרע, כפירושו של ה"הון עשיר", או, בדקות יותר, עולם העשיה מכאן ועולם הבריאה מכאן). מסכת </w:t>
      </w:r>
      <w:r w:rsidRPr="00710028">
        <w:rPr>
          <w:rFonts w:ascii="Times New Roman" w:eastAsia="Times New Roman" w:hAnsi="Times New Roman" w:cs="MiriamMFO"/>
          <w:noProof/>
          <w:rtl/>
          <w:lang w:eastAsia="he-IL"/>
        </w:rPr>
        <w:t>בבא מציעא</w:t>
      </w:r>
      <w:r w:rsidRPr="00710028">
        <w:rPr>
          <w:rFonts w:ascii="Times New Roman" w:eastAsia="Times New Roman" w:hAnsi="Times New Roman" w:cs="oprFrank" w:hint="cs"/>
          <w:noProof/>
          <w:szCs w:val="27"/>
          <w:rtl/>
          <w:lang w:eastAsia="he-IL"/>
        </w:rPr>
        <w:t xml:space="preserve"> בעיקרה היא דיני טוען ונטען, התדיינות בין בני אדם על ממונות העוברים ומוחלפים ביניהם. כאן צריך לפתח את חוש הצדק. עשיית צדק בעיקרה היא עשיית טוב, דאגה לטיפוח יחסים תקינים.</w:t>
      </w:r>
    </w:p>
    <w:p w:rsidR="00710028" w:rsidRPr="00710028" w:rsidRDefault="00710028" w:rsidP="00710028">
      <w:pPr>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הסוגיה שבריש המסכת מסבירה מדוע טרחה המשנה לרמוז כי נצרכת שבועה בשני מקרים – גם כאשר מתווכחים מי משניהם המוצא, וגם כאשר מתווכחים מי משניהם הקונה. שבועה נצרכת כאשר מורה היתר לעצמו, ומניחים שהצורך להשבע יחשוף לו את שקרו, ולא יוכל להמשיך לראות בו משהו זניח. מסבירה הגמרא כי יש המורה היתר לעצמו להשתלט על מציאת חברו כיוון שאינו פוגע במשהו שהיה שלו, אלא רק מנכס לו את מזלו הטוב שבא בהפתעה 'מחוץ לחשבון'</w:t>
      </w:r>
      <w:r w:rsidRPr="00710028">
        <w:rPr>
          <w:rFonts w:ascii="Times New Roman" w:eastAsia="Times New Roman" w:hAnsi="Times New Roman" w:cs="oprFrank"/>
          <w:noProof/>
          <w:position w:val="-5"/>
          <w:szCs w:val="27"/>
          <w:vertAlign w:val="superscript"/>
          <w:rtl/>
          <w:lang w:eastAsia="he-IL"/>
        </w:rPr>
        <w:footnoteReference w:id="3"/>
      </w:r>
      <w:r w:rsidRPr="00710028">
        <w:rPr>
          <w:rFonts w:ascii="Times New Roman" w:eastAsia="Times New Roman" w:hAnsi="Times New Roman" w:cs="oprFrank" w:hint="cs"/>
          <w:noProof/>
          <w:szCs w:val="27"/>
          <w:rtl/>
          <w:lang w:eastAsia="he-IL"/>
        </w:rPr>
        <w:t>. לעומתו יש המורה היתר לעצמו לטעון כי הוא זה שקדם וקנה מפני שבפועל לא יהיה לחברו נזק כספי מכך, שהרי המוכר יחזיר את כספו, ויוכל ללכת להשיג מבוקשו במקום אחר. אי אפשר ללמוד ממקרה אחד על משנהו, כי בעיני פלוני אין מקום לאדם להורות היתר לעצמו ליטול מחברו את קנינו ולהטריחו למצוא לזה תחליף, ולפיכך, לשקרן שהעיז ליטול מחברו לא תועיל שבועה, ובעיני אלמוני אין מקום להורות היתר לפגוע במזלו של חברו ובהשגחה הפרטית שנתנה בו עינה לטובה, ואם מישהו החציף ומנע הטוב מבעליו, לא תועיל לו שבועה</w:t>
      </w:r>
      <w:r w:rsidRPr="00710028">
        <w:rPr>
          <w:rFonts w:ascii="Times New Roman" w:eastAsia="Times New Roman" w:hAnsi="Times New Roman" w:cs="oprFrank"/>
          <w:noProof/>
          <w:position w:val="-5"/>
          <w:szCs w:val="27"/>
          <w:vertAlign w:val="superscript"/>
          <w:rtl/>
          <w:lang w:eastAsia="he-IL"/>
        </w:rPr>
        <w:footnoteReference w:id="4"/>
      </w:r>
      <w:r w:rsidRPr="00710028">
        <w:rPr>
          <w:rFonts w:ascii="Times New Roman" w:eastAsia="Times New Roman" w:hAnsi="Times New Roman" w:cs="oprFrank" w:hint="cs"/>
          <w:noProof/>
          <w:szCs w:val="27"/>
          <w:rtl/>
          <w:lang w:eastAsia="he-IL"/>
        </w:rPr>
        <w:t xml:space="preserve">. </w:t>
      </w:r>
    </w:p>
    <w:p w:rsidR="00710028" w:rsidRPr="00710028" w:rsidRDefault="00710028" w:rsidP="00710028">
      <w:pPr>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 xml:space="preserve">באה המשנה ומלמדת שכלפי שתי הוראות ההיתר מועילה השבועה, ובכוחה למנוע את האדם משתיהן. הרי לנו שהשבועה שבראש המסכת באה לפתח רגישות הן למזלו של חברו והן לטרחתו (הן לישועתו שמן השמים והן למאמציו שמן הארץ, הן לאור המקיף המרחף מעליו והן לאור הפנימי המפעם בקרבו), ועוסקת להעמיק את היחסים שבין אדם </w:t>
      </w:r>
      <w:r w:rsidRPr="00710028">
        <w:rPr>
          <w:rFonts w:ascii="Times New Roman" w:eastAsia="Times New Roman" w:hAnsi="Times New Roman" w:cs="oprFrank" w:hint="cs"/>
          <w:noProof/>
          <w:szCs w:val="27"/>
          <w:rtl/>
          <w:lang w:eastAsia="he-IL"/>
        </w:rPr>
        <w:lastRenderedPageBreak/>
        <w:t>לחברו (ובהמשך שוב דיון על שבועת מודה במקצת, היא השבועה בה עוסק הכתוב העומד ביסוד מסכתנו, כדלקמן, ושוב עיסוק מעמיק במצב בו מורה היתר לעצמו)</w:t>
      </w:r>
      <w:r w:rsidRPr="00710028">
        <w:rPr>
          <w:rFonts w:ascii="Times New Roman" w:eastAsia="Times New Roman" w:hAnsi="Times New Roman" w:cs="oprFrank"/>
          <w:noProof/>
          <w:position w:val="-5"/>
          <w:szCs w:val="27"/>
          <w:vertAlign w:val="superscript"/>
          <w:rtl/>
          <w:lang w:eastAsia="he-IL"/>
        </w:rPr>
        <w:footnoteReference w:id="5"/>
      </w:r>
      <w:r w:rsidRPr="00710028">
        <w:rPr>
          <w:rFonts w:ascii="Times New Roman" w:eastAsia="Times New Roman" w:hAnsi="Times New Roman" w:cs="oprFrank" w:hint="cs"/>
          <w:noProof/>
          <w:szCs w:val="27"/>
          <w:rtl/>
          <w:lang w:eastAsia="he-IL"/>
        </w:rPr>
        <w:t xml:space="preserve">. </w:t>
      </w:r>
    </w:p>
    <w:p w:rsidR="00710028" w:rsidRPr="00710028" w:rsidRDefault="00710028" w:rsidP="00710028">
      <w:pPr>
        <w:spacing w:before="60" w:after="60" w:line="350" w:lineRule="exact"/>
        <w:jc w:val="both"/>
        <w:rPr>
          <w:rFonts w:ascii="Times New Roman" w:eastAsia="Times New Roman" w:hAnsi="Times New Roman" w:cs="oprFrank" w:hint="cs"/>
          <w:noProof/>
          <w:sz w:val="26"/>
          <w:szCs w:val="27"/>
          <w:rtl/>
          <w:lang w:eastAsia="he-IL"/>
        </w:rPr>
      </w:pPr>
      <w:r w:rsidRPr="00710028">
        <w:rPr>
          <w:rFonts w:ascii="Times New Roman" w:eastAsia="Times New Roman" w:hAnsi="Times New Roman" w:cs="oprFrank" w:hint="cs"/>
          <w:noProof/>
          <w:szCs w:val="27"/>
          <w:rtl/>
          <w:lang w:eastAsia="he-IL"/>
        </w:rPr>
        <w:t xml:space="preserve">מסכת </w:t>
      </w:r>
      <w:r w:rsidRPr="00710028">
        <w:rPr>
          <w:rFonts w:ascii="Times New Roman" w:eastAsia="Times New Roman" w:hAnsi="Times New Roman" w:cs="MiriamMFO"/>
          <w:noProof/>
          <w:rtl/>
          <w:lang w:eastAsia="he-IL"/>
        </w:rPr>
        <w:t>בבא בתרא</w:t>
      </w:r>
      <w:r w:rsidRPr="00710028">
        <w:rPr>
          <w:rFonts w:ascii="Times New Roman" w:eastAsia="Times New Roman" w:hAnsi="Times New Roman" w:cs="oprFrank" w:hint="cs"/>
          <w:noProof/>
          <w:szCs w:val="27"/>
          <w:rtl/>
          <w:lang w:eastAsia="he-IL"/>
        </w:rPr>
        <w:t xml:space="preserve"> עוסקת בעיקרה בסידור יחסי שכנים. עולם ה</w:t>
      </w:r>
      <w:r w:rsidRPr="00710028">
        <w:rPr>
          <w:rFonts w:ascii="Times New Roman" w:eastAsia="Times New Roman" w:hAnsi="Times New Roman" w:cs="MiriamMFO"/>
          <w:noProof/>
          <w:rtl/>
          <w:lang w:eastAsia="he-IL"/>
        </w:rPr>
        <w:t>בריאה</w:t>
      </w:r>
      <w:r w:rsidRPr="00710028">
        <w:rPr>
          <w:rFonts w:ascii="Times New Roman" w:eastAsia="Times New Roman" w:hAnsi="Times New Roman" w:cs="oprFrank" w:hint="cs"/>
          <w:noProof/>
          <w:szCs w:val="27"/>
          <w:rtl/>
          <w:lang w:eastAsia="he-IL"/>
        </w:rPr>
        <w:t>, עולם השכל וההכרה "רובו טוב". השכל אינו תופס את המציאות כמלאה בעימותים, אלא מניח שהכל יבוא על מקומו בשלום אם רק יהיה בחינת חכם המכיר את מקומו</w:t>
      </w:r>
      <w:r w:rsidRPr="00710028">
        <w:rPr>
          <w:rFonts w:ascii="Times New Roman" w:eastAsia="Times New Roman" w:hAnsi="Times New Roman" w:cs="oprFrank"/>
          <w:noProof/>
          <w:position w:val="-5"/>
          <w:szCs w:val="27"/>
          <w:vertAlign w:val="superscript"/>
          <w:rtl/>
          <w:lang w:eastAsia="he-IL"/>
        </w:rPr>
        <w:footnoteReference w:id="6"/>
      </w:r>
      <w:r w:rsidRPr="00710028">
        <w:rPr>
          <w:rFonts w:ascii="Times New Roman" w:eastAsia="Times New Roman" w:hAnsi="Times New Roman" w:cs="oprFrank" w:hint="cs"/>
          <w:noProof/>
          <w:szCs w:val="27"/>
          <w:rtl/>
          <w:lang w:eastAsia="he-IL"/>
        </w:rPr>
        <w:t>. המאמץ כאן אינו לגלות מי צודק והיכן מסתתרת רמאות, אלא להגיע לתאום שישביע את רצון השניים. בבא מציעא עוסקת בעיקרה במטלטלים ובבא בתרא רובה בנכסי דלא ניידי. דברים גדולים הם פחות חמקמקים, ונדרשת בזה בהירות מה נכון יותר מאשר בירור היכן מסתתרת רמאות.</w:t>
      </w:r>
    </w:p>
    <w:p w:rsidR="00710028" w:rsidRPr="00710028" w:rsidRDefault="00710028" w:rsidP="00710028">
      <w:pPr>
        <w:keepNext/>
        <w:spacing w:before="360" w:after="240" w:line="400" w:lineRule="exact"/>
        <w:contextualSpacing/>
        <w:jc w:val="center"/>
        <w:outlineLvl w:val="2"/>
        <w:rPr>
          <w:rFonts w:ascii="Times New Roman" w:eastAsia="Times New Roman" w:hAnsi="Times New Roman" w:cs="Guttman Vilna" w:hint="cs"/>
          <w:bCs/>
          <w:noProof/>
          <w:sz w:val="26"/>
          <w:szCs w:val="30"/>
          <w:rtl/>
          <w:lang w:eastAsia="he-IL"/>
        </w:rPr>
      </w:pPr>
      <w:bookmarkStart w:id="9" w:name="_Toc254800198"/>
      <w:bookmarkStart w:id="10" w:name="_Toc254802106"/>
      <w:r w:rsidRPr="00710028">
        <w:rPr>
          <w:rFonts w:ascii="Times New Roman" w:eastAsia="Times New Roman" w:hAnsi="Times New Roman" w:cs="Guttman Vilna" w:hint="cs"/>
          <w:bCs/>
          <w:noProof/>
          <w:szCs w:val="30"/>
          <w:rtl/>
          <w:lang w:eastAsia="he-IL"/>
        </w:rPr>
        <w:t>יחס בין סברה למצוה בחלקיה</w:t>
      </w:r>
      <w:r w:rsidRPr="00710028">
        <w:rPr>
          <w:rFonts w:ascii="Times New Roman" w:eastAsia="Times New Roman" w:hAnsi="Times New Roman" w:cs="Guttman Vilna" w:hint="eastAsia"/>
          <w:bCs/>
          <w:noProof/>
          <w:szCs w:val="30"/>
          <w:rtl/>
          <w:lang w:eastAsia="he-IL"/>
        </w:rPr>
        <w:t> </w:t>
      </w:r>
      <w:r w:rsidRPr="00710028">
        <w:rPr>
          <w:rFonts w:ascii="Times New Roman" w:eastAsia="Times New Roman" w:hAnsi="Times New Roman" w:cs="Guttman Vilna" w:hint="cs"/>
          <w:bCs/>
          <w:noProof/>
          <w:szCs w:val="30"/>
          <w:rtl/>
          <w:lang w:eastAsia="he-IL"/>
        </w:rPr>
        <w:t>השונים</w:t>
      </w:r>
      <w:r w:rsidRPr="00710028">
        <w:rPr>
          <w:rFonts w:ascii="Times New Roman" w:eastAsia="Times New Roman" w:hAnsi="Times New Roman" w:cs="Guttman Vilna" w:hint="eastAsia"/>
          <w:bCs/>
          <w:noProof/>
          <w:szCs w:val="30"/>
          <w:rtl/>
          <w:lang w:eastAsia="he-IL"/>
        </w:rPr>
        <w:t> </w:t>
      </w:r>
      <w:r w:rsidRPr="00710028">
        <w:rPr>
          <w:rFonts w:ascii="Times New Roman" w:eastAsia="Times New Roman" w:hAnsi="Times New Roman" w:cs="Guttman Vilna" w:hint="cs"/>
          <w:bCs/>
          <w:noProof/>
          <w:szCs w:val="30"/>
          <w:rtl/>
          <w:lang w:eastAsia="he-IL"/>
        </w:rPr>
        <w:t>של</w:t>
      </w:r>
      <w:r w:rsidRPr="00710028">
        <w:rPr>
          <w:rFonts w:ascii="Times New Roman" w:eastAsia="Times New Roman" w:hAnsi="Times New Roman" w:cs="Guttman Vilna" w:hint="eastAsia"/>
          <w:bCs/>
          <w:noProof/>
          <w:szCs w:val="30"/>
          <w:rtl/>
          <w:lang w:eastAsia="he-IL"/>
        </w:rPr>
        <w:t> </w:t>
      </w:r>
      <w:r w:rsidRPr="00710028">
        <w:rPr>
          <w:rFonts w:ascii="Times New Roman" w:eastAsia="Times New Roman" w:hAnsi="Times New Roman" w:cs="Guttman Vilna" w:hint="cs"/>
          <w:bCs/>
          <w:noProof/>
          <w:szCs w:val="30"/>
          <w:rtl/>
          <w:lang w:eastAsia="he-IL"/>
        </w:rPr>
        <w:t>מסכת</w:t>
      </w:r>
      <w:r w:rsidRPr="00710028">
        <w:rPr>
          <w:rFonts w:ascii="Times New Roman" w:eastAsia="Times New Roman" w:hAnsi="Times New Roman" w:cs="Guttman Vilna" w:hint="eastAsia"/>
          <w:bCs/>
          <w:noProof/>
          <w:szCs w:val="30"/>
          <w:rtl/>
          <w:lang w:eastAsia="he-IL"/>
        </w:rPr>
        <w:t> </w:t>
      </w:r>
      <w:r w:rsidRPr="00710028">
        <w:rPr>
          <w:rFonts w:ascii="Times New Roman" w:eastAsia="Times New Roman" w:hAnsi="Times New Roman" w:cs="Guttman Vilna" w:hint="cs"/>
          <w:bCs/>
          <w:noProof/>
          <w:szCs w:val="30"/>
          <w:rtl/>
          <w:lang w:eastAsia="he-IL"/>
        </w:rPr>
        <w:t>נזיקין</w:t>
      </w:r>
      <w:bookmarkEnd w:id="9"/>
      <w:bookmarkEnd w:id="10"/>
    </w:p>
    <w:p w:rsidR="00710028" w:rsidRPr="00710028" w:rsidRDefault="00710028" w:rsidP="00710028">
      <w:pPr>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 xml:space="preserve">ראה רמב"ם בהקדמת המשנה: </w:t>
      </w:r>
    </w:p>
    <w:p w:rsidR="00710028" w:rsidRPr="00710028" w:rsidRDefault="00710028" w:rsidP="00710028">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710028">
        <w:rPr>
          <w:rFonts w:ascii="Times New Roman" w:eastAsia="Times New Roman" w:hAnsi="Times New Roman" w:cs="Guttman Vilna"/>
          <w:noProof/>
          <w:sz w:val="20"/>
          <w:szCs w:val="21"/>
          <w:rtl/>
          <w:lang w:eastAsia="he-IL"/>
        </w:rPr>
        <w:t>ופתח בבבא קמא, וענינה התבוננות בנזקים ומניעתם</w:t>
      </w:r>
      <w:r w:rsidRPr="00710028">
        <w:rPr>
          <w:rFonts w:ascii="Times New Roman" w:eastAsia="Times New Roman" w:hAnsi="Times New Roman" w:cs="Times New Roman" w:hint="cs"/>
          <w:noProof/>
          <w:sz w:val="20"/>
          <w:szCs w:val="21"/>
          <w:rtl/>
          <w:lang w:eastAsia="he-IL"/>
        </w:rPr>
        <w:t>…</w:t>
      </w:r>
      <w:r w:rsidRPr="00710028">
        <w:rPr>
          <w:rFonts w:ascii="Times New Roman" w:eastAsia="Times New Roman" w:hAnsi="Times New Roman" w:cs="Guttman Vilna" w:hint="cs"/>
          <w:noProof/>
          <w:sz w:val="20"/>
          <w:szCs w:val="21"/>
          <w:rtl/>
          <w:lang w:eastAsia="he-IL"/>
        </w:rPr>
        <w:t xml:space="preserve"> </w:t>
      </w:r>
      <w:r w:rsidRPr="00710028">
        <w:rPr>
          <w:rFonts w:ascii="Times New Roman" w:eastAsia="Times New Roman" w:hAnsi="Times New Roman" w:cs="Guttman Vilna"/>
          <w:noProof/>
          <w:sz w:val="20"/>
          <w:szCs w:val="21"/>
          <w:rtl/>
          <w:lang w:eastAsia="he-IL"/>
        </w:rPr>
        <w:t xml:space="preserve">ואין ראוי לשופט להקדים דבר לפני הסרת הנזקים מבני אדם. אחר כך בבא מציעא, וענינה ההתבוננות בטענות והפקדונות וההשכרות והתביעות והשכירויות, ומה שראוי שיצטרף לענין הזה, כמו שעשה הכתוב: אחרי דיני שור ובור והבער וכי ינצו אנשים – דיבר בארבעה שומרין. אחר כך בבא בתרא, וענינה ההתבוננות בחלוקת הקרקעות, והדינים הנופלים בבתי השותפים והשכנים, ובטול המקח בהתגלות המום, והדיבור המסופק במקח וממכר איך לדון בו </w:t>
      </w:r>
      <w:r w:rsidRPr="00710028">
        <w:rPr>
          <w:rFonts w:ascii="Times New Roman" w:eastAsia="Times New Roman" w:hAnsi="Times New Roman" w:cs="oprFrank" w:hint="cs"/>
          <w:noProof/>
          <w:sz w:val="26"/>
          <w:szCs w:val="26"/>
          <w:rtl/>
          <w:lang w:eastAsia="he-IL"/>
        </w:rPr>
        <w:t>[יושם לב כי גם באלו אין רמאות והעובדות אינן מוטלות בספק]</w:t>
      </w:r>
      <w:r w:rsidRPr="00710028">
        <w:rPr>
          <w:rFonts w:ascii="Times New Roman" w:eastAsia="Times New Roman" w:hAnsi="Times New Roman" w:cs="Guttman Vilna"/>
          <w:noProof/>
          <w:sz w:val="20"/>
          <w:szCs w:val="21"/>
          <w:rtl/>
          <w:lang w:eastAsia="he-IL"/>
        </w:rPr>
        <w:t>, והערבות והירושות. ואֵחר החלק הזה, לפי שהוא כלו קבלה ודברי סברה, לא נתבארו בכתוב</w:t>
      </w:r>
      <w:r w:rsidRPr="00710028">
        <w:rPr>
          <w:rFonts w:ascii="Times New Roman" w:eastAsia="Times New Roman" w:hAnsi="Times New Roman" w:cs="Guttman Vilna" w:hint="cs"/>
          <w:noProof/>
          <w:sz w:val="20"/>
          <w:szCs w:val="21"/>
          <w:rtl/>
          <w:lang w:eastAsia="he-IL"/>
        </w:rPr>
        <w:t>.</w:t>
      </w:r>
    </w:p>
    <w:p w:rsidR="00710028" w:rsidRPr="00710028" w:rsidRDefault="00710028" w:rsidP="00710028">
      <w:pPr>
        <w:widowControl w:val="0"/>
        <w:spacing w:before="60" w:after="60" w:line="350" w:lineRule="exact"/>
        <w:jc w:val="both"/>
        <w:rPr>
          <w:rFonts w:ascii="Times New Roman" w:eastAsia="Times New Roman" w:hAnsi="Times New Roman" w:cs="oprFrank" w:hint="cs"/>
          <w:noProof/>
          <w:szCs w:val="27"/>
          <w:rtl/>
          <w:lang w:eastAsia="he-IL"/>
        </w:rPr>
      </w:pPr>
      <w:r w:rsidRPr="00710028">
        <w:rPr>
          <w:rFonts w:ascii="Times New Roman" w:eastAsia="Times New Roman" w:hAnsi="Times New Roman" w:cs="oprFrank" w:hint="cs"/>
          <w:noProof/>
          <w:szCs w:val="27"/>
          <w:rtl/>
          <w:lang w:eastAsia="he-IL"/>
        </w:rPr>
        <w:t>נראה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שבדיני</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נזיקין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האריך</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הכתוב.</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הלכות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טוען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ונטען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עצמן,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שהן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'שרש'</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המסכת,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נסמכות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על</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מצוה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אחת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בלבד</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(היא</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המצוה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w:t>
      </w:r>
      <w:r w:rsidRPr="00710028">
        <w:rPr>
          <w:rFonts w:ascii="Times New Roman" w:eastAsia="Times New Roman" w:hAnsi="Times New Roman" w:cs="MiriamMFO"/>
          <w:noProof/>
          <w:rtl/>
          <w:lang w:eastAsia="he-IL"/>
        </w:rPr>
        <w:t>נח</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בספר</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החינוך,</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ויש</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לרמוז</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בזה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על</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השייכות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לבני</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MiriamMFO"/>
          <w:noProof/>
          <w:rtl/>
          <w:lang w:eastAsia="he-IL"/>
        </w:rPr>
        <w:t>נח</w:t>
      </w:r>
      <w:r w:rsidRPr="00710028">
        <w:rPr>
          <w:rFonts w:ascii="Times New Roman" w:eastAsia="Times New Roman" w:hAnsi="Times New Roman" w:cs="oprFrank" w:hint="cs"/>
          <w:noProof/>
          <w:szCs w:val="27"/>
          <w:rtl/>
          <w:lang w:eastAsia="he-IL"/>
        </w:rPr>
        <w:t>,</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כדברי</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החינוך</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בעצמו</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בסוף</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המצוה),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ועניני</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הסידורים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שבין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השכנים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כולם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סברה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ותושבע"פ</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עניני</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בינה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והתבוננות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השייכים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לעולם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הבריאה.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המקרא,</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בו</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דבר</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הנוחת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כציווי,</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הוא</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היורד</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מטה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מטה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לכבוש</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את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עולם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העשיה.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כאן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בית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הדין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פועל</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יחסית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כזרוע</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מבצעת,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ואילו</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עולם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lastRenderedPageBreak/>
        <w:t>היחסים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הוא</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העולם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שהכי</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צריך</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להעזר</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בחכמת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בית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הדין,</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בחכמת</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אנוש</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שאלקים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ניצב</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בתוכה</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"עד</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האלקים</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יבֹא</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דבר</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שניהם"</w:t>
      </w:r>
      <w:r w:rsidRPr="00710028">
        <w:rPr>
          <w:rFonts w:ascii="Times New Roman" w:eastAsia="Times New Roman" w:hAnsi="Times New Roman" w:cs="oprFrank"/>
          <w:noProof/>
          <w:position w:val="-5"/>
          <w:szCs w:val="27"/>
          <w:vertAlign w:val="superscript"/>
          <w:rtl/>
          <w:lang w:eastAsia="he-IL"/>
        </w:rPr>
        <w:footnoteReference w:id="7"/>
      </w:r>
      <w:r w:rsidRPr="00710028">
        <w:rPr>
          <w:rFonts w:ascii="Times New Roman" w:eastAsia="Times New Roman" w:hAnsi="Times New Roman" w:cs="oprFrank" w:hint="cs"/>
          <w:noProof/>
          <w:szCs w:val="27"/>
          <w:rtl/>
          <w:lang w:eastAsia="he-IL"/>
        </w:rPr>
        <w:t>,</w:t>
      </w:r>
      <w:r w:rsidRPr="00710028">
        <w:rPr>
          <w:rFonts w:ascii="Times New Roman" w:eastAsia="Times New Roman" w:hAnsi="Times New Roman" w:cs="oprFrank" w:hint="cs"/>
          <w:noProof/>
          <w:spacing w:val="-23"/>
          <w:szCs w:val="27"/>
          <w:rtl/>
          <w:lang w:eastAsia="he-IL"/>
        </w:rPr>
        <w:t xml:space="preserve"> </w:t>
      </w:r>
      <w:r w:rsidRPr="00710028">
        <w:rPr>
          <w:rFonts w:ascii="Times New Roman" w:eastAsia="Times New Roman" w:hAnsi="Times New Roman" w:cs="oprFrank" w:hint="cs"/>
          <w:noProof/>
          <w:szCs w:val="27"/>
          <w:rtl/>
          <w:lang w:eastAsia="he-IL"/>
        </w:rPr>
        <w:t>"אלקים</w:t>
      </w:r>
      <w:r w:rsidRPr="00710028">
        <w:rPr>
          <w:rFonts w:ascii="Times New Roman" w:eastAsia="Times New Roman" w:hAnsi="Times New Roman" w:cs="oprFrank" w:hint="cs"/>
          <w:noProof/>
          <w:spacing w:val="-6"/>
          <w:szCs w:val="27"/>
          <w:rtl/>
          <w:lang w:eastAsia="he-IL"/>
        </w:rPr>
        <w:t xml:space="preserve"> </w:t>
      </w:r>
      <w:r w:rsidRPr="00710028">
        <w:rPr>
          <w:rFonts w:ascii="Times New Roman" w:eastAsia="Times New Roman" w:hAnsi="Times New Roman" w:cs="oprFrank" w:hint="cs"/>
          <w:noProof/>
          <w:szCs w:val="27"/>
          <w:rtl/>
          <w:lang w:eastAsia="he-IL"/>
        </w:rPr>
        <w:t>נִצב</w:t>
      </w:r>
      <w:r w:rsidRPr="00710028">
        <w:rPr>
          <w:rFonts w:ascii="Times New Roman" w:eastAsia="Times New Roman" w:hAnsi="Times New Roman" w:cs="oprFrank" w:hint="cs"/>
          <w:noProof/>
          <w:spacing w:val="-6"/>
          <w:szCs w:val="27"/>
          <w:rtl/>
          <w:lang w:eastAsia="he-IL"/>
        </w:rPr>
        <w:t xml:space="preserve"> </w:t>
      </w:r>
      <w:r w:rsidRPr="00710028">
        <w:rPr>
          <w:rFonts w:ascii="Times New Roman" w:eastAsia="Times New Roman" w:hAnsi="Times New Roman" w:cs="oprFrank" w:hint="cs"/>
          <w:noProof/>
          <w:szCs w:val="27"/>
          <w:rtl/>
          <w:lang w:eastAsia="he-IL"/>
        </w:rPr>
        <w:t>בעדת</w:t>
      </w:r>
      <w:r w:rsidRPr="00710028">
        <w:rPr>
          <w:rFonts w:ascii="Times New Roman" w:eastAsia="Times New Roman" w:hAnsi="Times New Roman" w:cs="oprFrank" w:hint="cs"/>
          <w:noProof/>
          <w:spacing w:val="-6"/>
          <w:szCs w:val="27"/>
          <w:rtl/>
          <w:lang w:eastAsia="he-IL"/>
        </w:rPr>
        <w:t xml:space="preserve"> </w:t>
      </w:r>
      <w:r w:rsidRPr="00710028">
        <w:rPr>
          <w:rFonts w:ascii="Times New Roman" w:eastAsia="Times New Roman" w:hAnsi="Times New Roman" w:cs="oprFrank" w:hint="cs"/>
          <w:noProof/>
          <w:szCs w:val="27"/>
          <w:rtl/>
          <w:lang w:eastAsia="he-IL"/>
        </w:rPr>
        <w:t>אל…</w:t>
      </w:r>
      <w:r w:rsidRPr="00710028">
        <w:rPr>
          <w:rFonts w:ascii="Times New Roman" w:eastAsia="Times New Roman" w:hAnsi="Times New Roman" w:cs="oprFrank" w:hint="cs"/>
          <w:noProof/>
          <w:spacing w:val="-6"/>
          <w:szCs w:val="27"/>
          <w:rtl/>
          <w:lang w:eastAsia="he-IL"/>
        </w:rPr>
        <w:t xml:space="preserve"> </w:t>
      </w:r>
      <w:r w:rsidRPr="00710028">
        <w:rPr>
          <w:rFonts w:ascii="Times New Roman" w:eastAsia="Times New Roman" w:hAnsi="Times New Roman" w:cs="oprFrank" w:hint="cs"/>
          <w:noProof/>
          <w:szCs w:val="27"/>
          <w:rtl/>
          <w:lang w:eastAsia="he-IL"/>
        </w:rPr>
        <w:t>אני</w:t>
      </w:r>
      <w:r w:rsidRPr="00710028">
        <w:rPr>
          <w:rFonts w:ascii="Times New Roman" w:eastAsia="Times New Roman" w:hAnsi="Times New Roman" w:cs="oprFrank" w:hint="cs"/>
          <w:noProof/>
          <w:spacing w:val="-6"/>
          <w:szCs w:val="27"/>
          <w:rtl/>
          <w:lang w:eastAsia="he-IL"/>
        </w:rPr>
        <w:t xml:space="preserve"> </w:t>
      </w:r>
      <w:r w:rsidRPr="00710028">
        <w:rPr>
          <w:rFonts w:ascii="Times New Roman" w:eastAsia="Times New Roman" w:hAnsi="Times New Roman" w:cs="oprFrank" w:hint="cs"/>
          <w:noProof/>
          <w:szCs w:val="27"/>
          <w:rtl/>
          <w:lang w:eastAsia="he-IL"/>
        </w:rPr>
        <w:t>אמרתי</w:t>
      </w:r>
      <w:r w:rsidRPr="00710028">
        <w:rPr>
          <w:rFonts w:ascii="Times New Roman" w:eastAsia="Times New Roman" w:hAnsi="Times New Roman" w:cs="oprFrank" w:hint="cs"/>
          <w:noProof/>
          <w:spacing w:val="-6"/>
          <w:szCs w:val="27"/>
          <w:rtl/>
          <w:lang w:eastAsia="he-IL"/>
        </w:rPr>
        <w:t xml:space="preserve"> </w:t>
      </w:r>
      <w:r w:rsidRPr="00710028">
        <w:rPr>
          <w:rFonts w:ascii="Times New Roman" w:eastAsia="Times New Roman" w:hAnsi="Times New Roman" w:cs="oprFrank" w:hint="cs"/>
          <w:noProof/>
          <w:szCs w:val="27"/>
          <w:rtl/>
          <w:lang w:eastAsia="he-IL"/>
        </w:rPr>
        <w:t>אלקים</w:t>
      </w:r>
      <w:r w:rsidRPr="00710028">
        <w:rPr>
          <w:rFonts w:ascii="Times New Roman" w:eastAsia="Times New Roman" w:hAnsi="Times New Roman" w:cs="oprFrank" w:hint="cs"/>
          <w:noProof/>
          <w:spacing w:val="-6"/>
          <w:szCs w:val="27"/>
          <w:rtl/>
          <w:lang w:eastAsia="he-IL"/>
        </w:rPr>
        <w:t xml:space="preserve"> </w:t>
      </w:r>
      <w:r w:rsidRPr="00710028">
        <w:rPr>
          <w:rFonts w:ascii="Times New Roman" w:eastAsia="Times New Roman" w:hAnsi="Times New Roman" w:cs="oprFrank" w:hint="cs"/>
          <w:noProof/>
          <w:szCs w:val="27"/>
          <w:rtl/>
          <w:lang w:eastAsia="he-IL"/>
        </w:rPr>
        <w:t>אתם"</w:t>
      </w:r>
      <w:r w:rsidRPr="00710028">
        <w:rPr>
          <w:rFonts w:ascii="Times New Roman" w:eastAsia="Times New Roman" w:hAnsi="Times New Roman" w:cs="oprFrank"/>
          <w:noProof/>
          <w:position w:val="-5"/>
          <w:szCs w:val="27"/>
          <w:vertAlign w:val="superscript"/>
          <w:rtl/>
          <w:lang w:eastAsia="he-IL"/>
        </w:rPr>
        <w:footnoteReference w:id="8"/>
      </w:r>
      <w:r w:rsidRPr="00710028">
        <w:rPr>
          <w:rFonts w:ascii="Times New Roman" w:eastAsia="Times New Roman" w:hAnsi="Times New Roman" w:cs="oprFrank" w:hint="cs"/>
          <w:noProof/>
          <w:szCs w:val="27"/>
          <w:rtl/>
          <w:lang w:eastAsia="he-IL"/>
        </w:rPr>
        <w:t>.</w:t>
      </w:r>
    </w:p>
    <w:p w:rsidR="005F4A47" w:rsidRDefault="006525B7">
      <w:bookmarkStart w:id="11" w:name="_GoBack"/>
      <w:bookmarkEnd w:id="1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5B7" w:rsidRDefault="006525B7" w:rsidP="00710028">
      <w:pPr>
        <w:spacing w:after="0" w:line="240" w:lineRule="auto"/>
      </w:pPr>
      <w:r>
        <w:separator/>
      </w:r>
    </w:p>
  </w:endnote>
  <w:endnote w:type="continuationSeparator" w:id="0">
    <w:p w:rsidR="006525B7" w:rsidRDefault="006525B7" w:rsidP="0071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IW_Shalom">
    <w:charset w:val="B1"/>
    <w:family w:val="auto"/>
    <w:pitch w:val="variable"/>
    <w:sig w:usb0="00001801" w:usb1="00000000" w:usb2="00000000" w:usb3="00000000" w:csb0="00000020" w:csb1="00000000"/>
  </w:font>
  <w:font w:name="oprFrank">
    <w:altName w:val="Courier New"/>
    <w:charset w:val="00"/>
    <w:family w:val="auto"/>
    <w:pitch w:val="variable"/>
    <w:sig w:usb0="00000000" w:usb1="00000000" w:usb2="00000000" w:usb3="00000000" w:csb0="00000021" w:csb1="00000000"/>
  </w:font>
  <w:font w:name="MiriamMFO">
    <w:altName w:val="Courier New"/>
    <w:charset w:val="B1"/>
    <w:family w:val="auto"/>
    <w:pitch w:val="variable"/>
    <w:sig w:usb0="00000800"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5B7" w:rsidRDefault="006525B7" w:rsidP="00710028">
      <w:pPr>
        <w:spacing w:after="0" w:line="240" w:lineRule="auto"/>
      </w:pPr>
      <w:r>
        <w:separator/>
      </w:r>
    </w:p>
  </w:footnote>
  <w:footnote w:type="continuationSeparator" w:id="0">
    <w:p w:rsidR="006525B7" w:rsidRDefault="006525B7" w:rsidP="00710028">
      <w:pPr>
        <w:spacing w:after="0" w:line="240" w:lineRule="auto"/>
      </w:pPr>
      <w:r>
        <w:continuationSeparator/>
      </w:r>
    </w:p>
  </w:footnote>
  <w:footnote w:id="1">
    <w:p w:rsidR="00710028" w:rsidRPr="007A71EB" w:rsidRDefault="00710028" w:rsidP="00710028">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r>
      <w:proofErr w:type="spellStart"/>
      <w:r w:rsidRPr="007A71EB">
        <w:rPr>
          <w:rFonts w:hint="cs"/>
          <w:rtl/>
        </w:rPr>
        <w:t>וב"דבר</w:t>
      </w:r>
      <w:proofErr w:type="spellEnd"/>
      <w:r w:rsidRPr="007A71EB">
        <w:rPr>
          <w:rFonts w:hint="cs"/>
          <w:rtl/>
        </w:rPr>
        <w:t xml:space="preserve"> מלכות" לפרשת משפטים מבאר הרבי </w:t>
      </w:r>
      <w:proofErr w:type="spellStart"/>
      <w:r w:rsidRPr="007A71EB">
        <w:rPr>
          <w:rFonts w:hint="cs"/>
          <w:rtl/>
        </w:rPr>
        <w:t>מליובאוויטש</w:t>
      </w:r>
      <w:proofErr w:type="spellEnd"/>
      <w:r w:rsidRPr="007A71EB">
        <w:rPr>
          <w:rFonts w:hint="cs"/>
          <w:rtl/>
        </w:rPr>
        <w:t xml:space="preserve"> כי מסכת נזיקין, כשמה כן היא, עוסקת </w:t>
      </w:r>
      <w:proofErr w:type="spellStart"/>
      <w:r w:rsidRPr="007A71EB">
        <w:rPr>
          <w:rFonts w:hint="cs"/>
          <w:rtl/>
        </w:rPr>
        <w:t>בעניני</w:t>
      </w:r>
      <w:proofErr w:type="spellEnd"/>
      <w:r w:rsidRPr="007A71EB">
        <w:rPr>
          <w:rFonts w:hint="cs"/>
          <w:rtl/>
        </w:rPr>
        <w:t xml:space="preserve"> הגלות. הרבי מסביר כי שלש הבבות מכוונות כנגד שלש הגלויות – גלות מצרים, גלות בבל וגלות אדום. מתאים לכוון כי גלות מצרים – הגלות הגשמית, בחומר ובלבנים ובכל עבודה בשדה – היא כנגד עולם </w:t>
      </w:r>
      <w:proofErr w:type="spellStart"/>
      <w:r w:rsidRPr="007A71EB">
        <w:rPr>
          <w:rFonts w:hint="cs"/>
          <w:rtl/>
        </w:rPr>
        <w:t>העשיה</w:t>
      </w:r>
      <w:proofErr w:type="spellEnd"/>
      <w:r w:rsidRPr="007A71EB">
        <w:rPr>
          <w:rFonts w:hint="cs"/>
          <w:rtl/>
        </w:rPr>
        <w:t>; גלות בבל המבלבלת את הלב (כמבואר באריכות במאמר "מפלת בבל" בספר רוחו של משיח) היא כנגד עולם היצירה; וגלות אדום היא גלות לשכל היהודי, ואכמ"ל.</w:t>
      </w:r>
    </w:p>
  </w:footnote>
  <w:footnote w:id="2">
    <w:p w:rsidR="00710028" w:rsidRPr="007A71EB" w:rsidRDefault="00710028" w:rsidP="00710028">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ישעיה </w:t>
      </w:r>
      <w:proofErr w:type="spellStart"/>
      <w:r w:rsidRPr="007A71EB">
        <w:rPr>
          <w:rFonts w:hint="cs"/>
          <w:rtl/>
        </w:rPr>
        <w:t>מז</w:t>
      </w:r>
      <w:proofErr w:type="spellEnd"/>
      <w:r w:rsidRPr="007A71EB">
        <w:rPr>
          <w:rFonts w:hint="cs"/>
          <w:rtl/>
        </w:rPr>
        <w:t>, ח; שם פסוק י; צפניה ב, טו.</w:t>
      </w:r>
    </w:p>
  </w:footnote>
  <w:footnote w:id="3">
    <w:p w:rsidR="00710028" w:rsidRPr="007A71EB" w:rsidRDefault="00710028" w:rsidP="00710028">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והוא על דרך המתנבא מה שלא נאמר לו – אלא נאמר לחברו – שחייב מיתה בידי שמים.</w:t>
      </w:r>
    </w:p>
  </w:footnote>
  <w:footnote w:id="4">
    <w:p w:rsidR="00710028" w:rsidRPr="007A71EB" w:rsidRDefault="00710028" w:rsidP="00710028">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כך כנראה לשיטת רש"י, </w:t>
      </w:r>
      <w:proofErr w:type="spellStart"/>
      <w:r w:rsidRPr="007A71EB">
        <w:rPr>
          <w:rFonts w:hint="cs"/>
          <w:rtl/>
        </w:rPr>
        <w:t>ולתוס</w:t>
      </w:r>
      <w:proofErr w:type="spellEnd"/>
      <w:r w:rsidRPr="007A71EB">
        <w:rPr>
          <w:rFonts w:hint="cs"/>
          <w:rtl/>
        </w:rPr>
        <w:t>' ההסבר כך: לא תועיל שבועה מפני שאם טען מה שטען למרות שלא הורה היתר לעצמו, אין זאת אלא שנדמה לו בוודאות כי הוא זה שמצא ונטל ראשון.</w:t>
      </w:r>
    </w:p>
  </w:footnote>
  <w:footnote w:id="5">
    <w:p w:rsidR="00710028" w:rsidRPr="007A71EB" w:rsidRDefault="00710028" w:rsidP="00710028">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רמז לרגישות המסתתרת מאחורי הלכות טוען ונטען: שרש </w:t>
      </w:r>
      <w:r w:rsidRPr="00CD06CC">
        <w:rPr>
          <w:rFonts w:hint="cs"/>
          <w:b/>
          <w:bCs/>
          <w:sz w:val="24"/>
          <w:szCs w:val="24"/>
          <w:rtl/>
        </w:rPr>
        <w:t>טען</w:t>
      </w:r>
      <w:r w:rsidRPr="007A71EB">
        <w:rPr>
          <w:rFonts w:hint="cs"/>
          <w:rtl/>
        </w:rPr>
        <w:t xml:space="preserve"> מופיע פעמיים במקרא, פעם אחת מתפרש בפשטות במשמעות של משא – "</w:t>
      </w:r>
      <w:r w:rsidRPr="007A71EB">
        <w:rPr>
          <w:rFonts w:hint="cs"/>
          <w:b/>
          <w:rtl/>
        </w:rPr>
        <w:t>טענו</w:t>
      </w:r>
      <w:r w:rsidRPr="007A71EB">
        <w:rPr>
          <w:rFonts w:hint="cs"/>
          <w:rtl/>
        </w:rPr>
        <w:t xml:space="preserve"> את בעירכם" (בראשית מה, </w:t>
      </w:r>
      <w:proofErr w:type="spellStart"/>
      <w:r w:rsidRPr="007A71EB">
        <w:rPr>
          <w:rFonts w:hint="cs"/>
          <w:rtl/>
        </w:rPr>
        <w:t>יז</w:t>
      </w:r>
      <w:proofErr w:type="spellEnd"/>
      <w:r w:rsidRPr="007A71EB">
        <w:rPr>
          <w:rFonts w:hint="cs"/>
          <w:rtl/>
        </w:rPr>
        <w:t>), הנאמר בדברי יוסף לאחיו – ופעם שניה מתפרש בפשטות יותר במשמעות של דקירה – "</w:t>
      </w:r>
      <w:r w:rsidRPr="007A71EB">
        <w:rPr>
          <w:rFonts w:hint="cs"/>
          <w:b/>
          <w:rtl/>
        </w:rPr>
        <w:t>מטֹעני</w:t>
      </w:r>
      <w:r w:rsidRPr="007A71EB">
        <w:rPr>
          <w:rFonts w:hint="cs"/>
          <w:rtl/>
        </w:rPr>
        <w:t xml:space="preserve"> חרב" שבישעיהו (יד, </w:t>
      </w:r>
      <w:proofErr w:type="spellStart"/>
      <w:r w:rsidRPr="007A71EB">
        <w:rPr>
          <w:rFonts w:hint="cs"/>
          <w:rtl/>
        </w:rPr>
        <w:t>יט</w:t>
      </w:r>
      <w:proofErr w:type="spellEnd"/>
      <w:r w:rsidRPr="007A71EB">
        <w:rPr>
          <w:rFonts w:hint="cs"/>
          <w:rtl/>
        </w:rPr>
        <w:t xml:space="preserve">) היינו </w:t>
      </w:r>
      <w:proofErr w:type="spellStart"/>
      <w:r w:rsidRPr="007A71EB">
        <w:rPr>
          <w:rFonts w:hint="cs"/>
          <w:rtl/>
        </w:rPr>
        <w:t>מדוקרי</w:t>
      </w:r>
      <w:proofErr w:type="spellEnd"/>
      <w:r w:rsidRPr="007A71EB">
        <w:rPr>
          <w:rFonts w:hint="cs"/>
          <w:rtl/>
        </w:rPr>
        <w:t xml:space="preserve"> חרב. בפעם הראשונה מופיע השרש </w:t>
      </w:r>
      <w:proofErr w:type="spellStart"/>
      <w:r w:rsidRPr="007A71EB">
        <w:rPr>
          <w:rFonts w:hint="cs"/>
          <w:rtl/>
        </w:rPr>
        <w:t>בבנין</w:t>
      </w:r>
      <w:proofErr w:type="spellEnd"/>
      <w:r w:rsidRPr="007A71EB">
        <w:rPr>
          <w:rFonts w:hint="cs"/>
          <w:rtl/>
        </w:rPr>
        <w:t xml:space="preserve"> פעל ובפעם שניה </w:t>
      </w:r>
      <w:proofErr w:type="spellStart"/>
      <w:r w:rsidRPr="007A71EB">
        <w:rPr>
          <w:rFonts w:hint="cs"/>
          <w:rtl/>
        </w:rPr>
        <w:t>בבנין</w:t>
      </w:r>
      <w:proofErr w:type="spellEnd"/>
      <w:r w:rsidRPr="007A71EB">
        <w:rPr>
          <w:rFonts w:hint="cs"/>
          <w:rtl/>
        </w:rPr>
        <w:t xml:space="preserve"> נפעל, ללמדך שמה שהטוען מדמה כמשא שמעמיס על חברו מתפרש לפעמים אצל הנטען כדקירה, ודוק.</w:t>
      </w:r>
    </w:p>
  </w:footnote>
  <w:footnote w:id="6">
    <w:p w:rsidR="00710028" w:rsidRPr="007A71EB" w:rsidRDefault="00710028" w:rsidP="00710028">
      <w:pPr>
        <w:pStyle w:val="a3"/>
      </w:pPr>
      <w:r w:rsidRPr="007A71EB">
        <w:rPr>
          <w:rFonts w:hint="cs"/>
          <w:rtl/>
        </w:rPr>
        <w:tab/>
      </w:r>
      <w:r w:rsidRPr="007A71EB">
        <w:rPr>
          <w:rtl/>
        </w:rPr>
        <w:footnoteRef/>
      </w:r>
      <w:r w:rsidRPr="007A71EB">
        <w:rPr>
          <w:rFonts w:hint="cs"/>
          <w:rtl/>
        </w:rPr>
        <w:t>.</w:t>
      </w:r>
      <w:r w:rsidRPr="007A71EB">
        <w:rPr>
          <w:rFonts w:hint="cs"/>
          <w:rtl/>
        </w:rPr>
        <w:tab/>
        <w:t xml:space="preserve">בחסידות מבואר שבכלים של כל ספירה באות שלש המשמעויות של שרש </w:t>
      </w:r>
      <w:r w:rsidRPr="00CD06CC">
        <w:rPr>
          <w:rFonts w:hint="cs"/>
          <w:b/>
          <w:bCs/>
          <w:sz w:val="24"/>
          <w:szCs w:val="24"/>
          <w:rtl/>
        </w:rPr>
        <w:t>ספר</w:t>
      </w:r>
      <w:r w:rsidRPr="007A71EB">
        <w:rPr>
          <w:rFonts w:hint="cs"/>
          <w:rtl/>
        </w:rPr>
        <w:t xml:space="preserve"> – חיצוניות הכלי היא ספירה מלשון מספר, אמצעיות הכלי היא ספירה מלשון סיפור ופנימיות הכלי היא ספירה מלשון ספיר (ראה סוד הוי' </w:t>
      </w:r>
      <w:proofErr w:type="spellStart"/>
      <w:r w:rsidRPr="007A71EB">
        <w:rPr>
          <w:rFonts w:hint="cs"/>
          <w:rtl/>
        </w:rPr>
        <w:t>ליראיו</w:t>
      </w:r>
      <w:proofErr w:type="spellEnd"/>
      <w:r w:rsidRPr="007A71EB">
        <w:rPr>
          <w:rFonts w:hint="cs"/>
          <w:rtl/>
        </w:rPr>
        <w:t xml:space="preserve"> שער "ספירת העומר", ובספר "וכמטמונים תחפשנה" ח"א, עמ' </w:t>
      </w:r>
      <w:proofErr w:type="spellStart"/>
      <w:r w:rsidRPr="007A71EB">
        <w:rPr>
          <w:rFonts w:hint="cs"/>
          <w:rtl/>
        </w:rPr>
        <w:t>יז</w:t>
      </w:r>
      <w:proofErr w:type="spellEnd"/>
      <w:r w:rsidRPr="007A71EB">
        <w:rPr>
          <w:rFonts w:hint="cs"/>
          <w:rtl/>
        </w:rPr>
        <w:t xml:space="preserve">-כד). שלשת רבדי הכלי יורדים להיות הנשמה הפנימית של שלשת העולמות התחתונים, בריאה-יצירה-עשיה, כמבואר לעיל. כנגד היצירה הוא הסיפור, כמו סיפור המתח של "שנים </w:t>
      </w:r>
      <w:proofErr w:type="spellStart"/>
      <w:r w:rsidRPr="007A71EB">
        <w:rPr>
          <w:rFonts w:hint="cs"/>
          <w:rtl/>
        </w:rPr>
        <w:t>אוחזין</w:t>
      </w:r>
      <w:proofErr w:type="spellEnd"/>
      <w:r w:rsidRPr="007A71EB">
        <w:rPr>
          <w:rFonts w:hint="cs"/>
          <w:rtl/>
        </w:rPr>
        <w:t xml:space="preserve"> בטלית" שבריש מסכתנו, וכמו רוב המסכת המלאה התרחשויות ועימותים.</w:t>
      </w:r>
    </w:p>
  </w:footnote>
  <w:footnote w:id="7">
    <w:p w:rsidR="00710028" w:rsidRPr="007A71EB" w:rsidRDefault="00710028" w:rsidP="00710028">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שמות </w:t>
      </w:r>
      <w:proofErr w:type="spellStart"/>
      <w:r w:rsidRPr="007A71EB">
        <w:rPr>
          <w:rFonts w:hint="cs"/>
          <w:rtl/>
        </w:rPr>
        <w:t>כב</w:t>
      </w:r>
      <w:proofErr w:type="spellEnd"/>
      <w:r w:rsidRPr="007A71EB">
        <w:rPr>
          <w:rFonts w:hint="cs"/>
          <w:rtl/>
        </w:rPr>
        <w:t>, ח.</w:t>
      </w:r>
    </w:p>
  </w:footnote>
  <w:footnote w:id="8">
    <w:p w:rsidR="00710028" w:rsidRPr="007A71EB" w:rsidRDefault="00710028" w:rsidP="00710028">
      <w:pPr>
        <w:pStyle w:val="a3"/>
        <w:widowControl w:val="0"/>
        <w:rPr>
          <w:rFonts w:hint="cs"/>
          <w:rtl/>
        </w:rPr>
      </w:pPr>
      <w:r w:rsidRPr="007A71EB">
        <w:rPr>
          <w:rFonts w:cs="David" w:hint="cs"/>
          <w:rtl/>
        </w:rPr>
        <w:tab/>
      </w:r>
      <w:r w:rsidRPr="007A71EB">
        <w:rPr>
          <w:rtl/>
        </w:rPr>
        <w:footnoteRef/>
      </w:r>
      <w:r w:rsidRPr="007A71EB">
        <w:rPr>
          <w:rFonts w:cs="David" w:hint="cs"/>
          <w:rtl/>
        </w:rPr>
        <w:t>.</w:t>
      </w:r>
      <w:r w:rsidRPr="007A71EB">
        <w:rPr>
          <w:rFonts w:cs="David" w:hint="cs"/>
          <w:rtl/>
        </w:rPr>
        <w:tab/>
      </w:r>
      <w:r w:rsidRPr="007A71EB">
        <w:rPr>
          <w:rFonts w:hint="cs"/>
          <w:rtl/>
        </w:rPr>
        <w:t xml:space="preserve">תהלים </w:t>
      </w:r>
      <w:proofErr w:type="spellStart"/>
      <w:r w:rsidRPr="007A71EB">
        <w:rPr>
          <w:rFonts w:hint="cs"/>
          <w:rtl/>
        </w:rPr>
        <w:t>פב</w:t>
      </w:r>
      <w:proofErr w:type="spellEnd"/>
      <w:r w:rsidRPr="007A71EB">
        <w:rPr>
          <w:rFonts w:hint="cs"/>
          <w:rtl/>
        </w:rPr>
        <w:t xml:space="preserve">, א-ו. ויש לרמוז: "יוצר אור ובורא חשך" (ישעיה מה, ז), כי בעולם היצירה בא אור הכתוב, אבל היכן </w:t>
      </w:r>
      <w:proofErr w:type="spellStart"/>
      <w:r w:rsidRPr="007A71EB">
        <w:rPr>
          <w:rFonts w:hint="cs"/>
          <w:rtl/>
        </w:rPr>
        <w:t>שהכל</w:t>
      </w:r>
      <w:proofErr w:type="spellEnd"/>
      <w:r w:rsidRPr="007A71EB">
        <w:rPr>
          <w:rFonts w:hint="cs"/>
          <w:rtl/>
        </w:rPr>
        <w:t xml:space="preserve"> סברת אנוש יש בזה בחינת גישוש בחושך, על דרך הנאמר בתלמוד בבלי בכלל: "'במחשכים הושיבני כמתי עולם'... זה תלמודה של בבל" (סנהדרין כד, א).</w:t>
      </w:r>
    </w:p>
    <w:p w:rsidR="00710028" w:rsidRPr="007A71EB" w:rsidRDefault="00710028" w:rsidP="00710028">
      <w:pPr>
        <w:pStyle w:val="a3"/>
        <w:rPr>
          <w:rFonts w:hint="cs"/>
          <w:rtl/>
        </w:rPr>
      </w:pPr>
      <w:r>
        <w:rPr>
          <w:rFonts w:hint="cs"/>
          <w:rtl/>
        </w:rPr>
        <w:tab/>
      </w:r>
      <w:r w:rsidRPr="007A71EB">
        <w:rPr>
          <w:rFonts w:hint="cs"/>
          <w:rtl/>
        </w:rPr>
        <w:tab/>
        <w:t xml:space="preserve">והנה, במדרש </w:t>
      </w:r>
      <w:proofErr w:type="spellStart"/>
      <w:r w:rsidRPr="007A71EB">
        <w:rPr>
          <w:rFonts w:hint="cs"/>
          <w:rtl/>
        </w:rPr>
        <w:t>תנחומא</w:t>
      </w:r>
      <w:proofErr w:type="spellEnd"/>
      <w:r w:rsidRPr="007A71EB">
        <w:rPr>
          <w:rFonts w:hint="cs"/>
          <w:rtl/>
        </w:rPr>
        <w:t xml:space="preserve"> הקדמון (סוף פרשת יתרו) נאמר כי תורה שבכתב (שבעולם </w:t>
      </w:r>
      <w:proofErr w:type="spellStart"/>
      <w:r w:rsidRPr="007A71EB">
        <w:rPr>
          <w:rFonts w:hint="cs"/>
          <w:rtl/>
        </w:rPr>
        <w:t>העשיה</w:t>
      </w:r>
      <w:proofErr w:type="spellEnd"/>
      <w:r w:rsidRPr="007A71EB">
        <w:rPr>
          <w:rFonts w:hint="cs"/>
          <w:rtl/>
        </w:rPr>
        <w:t xml:space="preserve">) היא "פנים זועמות", והיא העוסקת כאן בדיני ארבעה אבות נזיקין; משנה (שבעולם היצירה) היא "פנים בינוניות" – היא העוסקת בהסדרת יחסי אנוש סבירים; גמרא (שבעולם הבריאה) היא "פנים מסבירות" – עיקר ענינה הוא סברות השכל (מלאכי עולם הבריאה כונו בלשון הרמב"ם "שכלים נבדלים"), וסידור יחסים לאו </w:t>
      </w:r>
      <w:proofErr w:type="spellStart"/>
      <w:r w:rsidRPr="007A71EB">
        <w:rPr>
          <w:rFonts w:hint="cs"/>
          <w:rtl/>
        </w:rPr>
        <w:t>דוקא</w:t>
      </w:r>
      <w:proofErr w:type="spellEnd"/>
      <w:r w:rsidRPr="007A71EB">
        <w:rPr>
          <w:rFonts w:hint="cs"/>
          <w:rtl/>
        </w:rPr>
        <w:t xml:space="preserve"> על רקע של עימות; ואגדה (בה טמונים רזי הקבלה, שבעולם האצילות, כמבואר </w:t>
      </w:r>
      <w:proofErr w:type="spellStart"/>
      <w:r w:rsidRPr="007A71EB">
        <w:rPr>
          <w:rFonts w:hint="cs"/>
          <w:rtl/>
        </w:rPr>
        <w:t>בתניא</w:t>
      </w:r>
      <w:proofErr w:type="spellEnd"/>
      <w:r w:rsidRPr="007A71EB">
        <w:rPr>
          <w:rFonts w:hint="cs"/>
          <w:rtl/>
        </w:rPr>
        <w:t xml:space="preserve"> אגרת הקדש </w:t>
      </w:r>
      <w:proofErr w:type="spellStart"/>
      <w:r w:rsidRPr="007A71EB">
        <w:rPr>
          <w:rFonts w:hint="cs"/>
          <w:rtl/>
        </w:rPr>
        <w:t>כג</w:t>
      </w:r>
      <w:proofErr w:type="spellEnd"/>
      <w:r w:rsidRPr="007A71EB">
        <w:rPr>
          <w:rFonts w:hint="cs"/>
          <w:rtl/>
        </w:rPr>
        <w:t>) היא "פנים שוחקות".</w:t>
      </w:r>
    </w:p>
    <w:p w:rsidR="00710028" w:rsidRPr="007A71EB" w:rsidRDefault="00710028" w:rsidP="00710028">
      <w:pPr>
        <w:pStyle w:val="a3"/>
        <w:rPr>
          <w:rtl/>
        </w:rPr>
      </w:pPr>
      <w:r>
        <w:rPr>
          <w:rFonts w:hint="cs"/>
          <w:rtl/>
        </w:rPr>
        <w:tab/>
      </w:r>
      <w:r w:rsidRPr="007A71EB">
        <w:rPr>
          <w:rFonts w:hint="cs"/>
          <w:rtl/>
        </w:rPr>
        <w:tab/>
        <w:t>וזו לשון המדרש:</w:t>
      </w:r>
    </w:p>
    <w:p w:rsidR="00710028" w:rsidRPr="007A71EB" w:rsidRDefault="00710028" w:rsidP="00710028">
      <w:pPr>
        <w:pStyle w:val="a5"/>
        <w:rPr>
          <w:rFonts w:hint="cs"/>
          <w:rtl/>
        </w:rPr>
      </w:pPr>
      <w:r w:rsidRPr="007A71EB">
        <w:rPr>
          <w:rFonts w:hint="cs"/>
          <w:rtl/>
        </w:rPr>
        <w:t>"</w:t>
      </w:r>
      <w:r w:rsidRPr="007A71EB">
        <w:rPr>
          <w:rStyle w:val="a7"/>
          <w:rtl/>
        </w:rPr>
        <w:t xml:space="preserve">אנכי </w:t>
      </w:r>
      <w:r w:rsidRPr="007A71EB">
        <w:rPr>
          <w:rStyle w:val="a7"/>
          <w:rFonts w:hint="cs"/>
          <w:rtl/>
        </w:rPr>
        <w:t>הוי'</w:t>
      </w:r>
      <w:r w:rsidRPr="007A71EB">
        <w:rPr>
          <w:rStyle w:val="a7"/>
          <w:rtl/>
        </w:rPr>
        <w:t xml:space="preserve"> אל</w:t>
      </w:r>
      <w:r w:rsidRPr="007A71EB">
        <w:rPr>
          <w:rStyle w:val="a7"/>
          <w:rFonts w:hint="cs"/>
          <w:rtl/>
        </w:rPr>
        <w:t>קיך" –</w:t>
      </w:r>
      <w:r w:rsidRPr="007A71EB">
        <w:rPr>
          <w:rStyle w:val="a7"/>
          <w:rtl/>
        </w:rPr>
        <w:t xml:space="preserve"> א"ר חננא בר פפא</w:t>
      </w:r>
      <w:r w:rsidRPr="007A71EB">
        <w:rPr>
          <w:rStyle w:val="a7"/>
          <w:rFonts w:hint="cs"/>
          <w:rtl/>
        </w:rPr>
        <w:t>:</w:t>
      </w:r>
      <w:r w:rsidRPr="007A71EB">
        <w:rPr>
          <w:rStyle w:val="a7"/>
          <w:rtl/>
        </w:rPr>
        <w:t xml:space="preserve"> נראה להם הקב"ה פנים זעופות</w:t>
      </w:r>
      <w:r w:rsidRPr="007A71EB">
        <w:rPr>
          <w:rStyle w:val="a7"/>
          <w:rFonts w:hint="cs"/>
          <w:rtl/>
        </w:rPr>
        <w:t>,</w:t>
      </w:r>
      <w:r w:rsidRPr="007A71EB">
        <w:rPr>
          <w:rStyle w:val="a7"/>
          <w:rtl/>
        </w:rPr>
        <w:t xml:space="preserve"> פנים בינוניות</w:t>
      </w:r>
      <w:r w:rsidRPr="007A71EB">
        <w:rPr>
          <w:rStyle w:val="a7"/>
          <w:rFonts w:hint="cs"/>
          <w:rtl/>
        </w:rPr>
        <w:t>,</w:t>
      </w:r>
      <w:r w:rsidRPr="007A71EB">
        <w:rPr>
          <w:rStyle w:val="a7"/>
          <w:rtl/>
        </w:rPr>
        <w:t xml:space="preserve"> פנים מסבירות</w:t>
      </w:r>
      <w:r w:rsidRPr="007A71EB">
        <w:rPr>
          <w:rStyle w:val="a7"/>
          <w:rFonts w:hint="cs"/>
          <w:rtl/>
        </w:rPr>
        <w:t>,</w:t>
      </w:r>
      <w:r w:rsidRPr="007A71EB">
        <w:rPr>
          <w:rStyle w:val="a7"/>
          <w:rtl/>
        </w:rPr>
        <w:t xml:space="preserve"> פנים שוחקות</w:t>
      </w:r>
      <w:r w:rsidRPr="007A71EB">
        <w:rPr>
          <w:rStyle w:val="a7"/>
          <w:rFonts w:hint="cs"/>
          <w:rtl/>
        </w:rPr>
        <w:t>.</w:t>
      </w:r>
      <w:r w:rsidRPr="007A71EB">
        <w:rPr>
          <w:rStyle w:val="a7"/>
          <w:rtl/>
        </w:rPr>
        <w:t xml:space="preserve"> פנים זועמות למקרא</w:t>
      </w:r>
      <w:r w:rsidRPr="007A71EB">
        <w:rPr>
          <w:rStyle w:val="a7"/>
          <w:rFonts w:hint="cs"/>
          <w:rtl/>
        </w:rPr>
        <w:t>,</w:t>
      </w:r>
      <w:r w:rsidRPr="007A71EB">
        <w:rPr>
          <w:rStyle w:val="a7"/>
          <w:rtl/>
        </w:rPr>
        <w:t xml:space="preserve"> כשאדם מלמד את בנו תורה צריך ללמדו באימה</w:t>
      </w:r>
      <w:r w:rsidRPr="007A71EB">
        <w:rPr>
          <w:rStyle w:val="a7"/>
          <w:rFonts w:hint="cs"/>
          <w:rtl/>
        </w:rPr>
        <w:t>.</w:t>
      </w:r>
      <w:r w:rsidRPr="007A71EB">
        <w:rPr>
          <w:rStyle w:val="a7"/>
          <w:rtl/>
        </w:rPr>
        <w:t xml:space="preserve"> פנים בינונית למשנה</w:t>
      </w:r>
      <w:r w:rsidRPr="007A71EB">
        <w:rPr>
          <w:rStyle w:val="a7"/>
          <w:rFonts w:hint="cs"/>
          <w:rtl/>
        </w:rPr>
        <w:t>,</w:t>
      </w:r>
      <w:r w:rsidRPr="007A71EB">
        <w:rPr>
          <w:rStyle w:val="a7"/>
          <w:rtl/>
        </w:rPr>
        <w:t xml:space="preserve"> פנים מסבירות לתלמוד</w:t>
      </w:r>
      <w:r w:rsidRPr="007A71EB">
        <w:rPr>
          <w:rStyle w:val="a7"/>
          <w:rFonts w:hint="cs"/>
          <w:rtl/>
        </w:rPr>
        <w:t>,</w:t>
      </w:r>
      <w:r w:rsidRPr="007A71EB">
        <w:rPr>
          <w:rStyle w:val="a7"/>
          <w:rtl/>
        </w:rPr>
        <w:t xml:space="preserve"> פנים שוחקות לאגדה</w:t>
      </w:r>
      <w:r w:rsidRPr="007A71EB">
        <w:rPr>
          <w:rStyle w:val="a7"/>
          <w:rFonts w:hint="cs"/>
          <w:rtl/>
        </w:rPr>
        <w:t>.</w:t>
      </w:r>
      <w:r w:rsidRPr="007A71EB">
        <w:rPr>
          <w:rStyle w:val="a7"/>
          <w:rtl/>
        </w:rPr>
        <w:t xml:space="preserve"> אמ</w:t>
      </w:r>
      <w:r w:rsidRPr="007A71EB">
        <w:rPr>
          <w:rStyle w:val="a7"/>
          <w:rFonts w:hint="cs"/>
          <w:rtl/>
        </w:rPr>
        <w:t>ר</w:t>
      </w:r>
      <w:r w:rsidRPr="007A71EB">
        <w:rPr>
          <w:rStyle w:val="a7"/>
          <w:rtl/>
        </w:rPr>
        <w:t xml:space="preserve"> להם הקב"ה</w:t>
      </w:r>
      <w:r w:rsidRPr="007A71EB">
        <w:rPr>
          <w:rStyle w:val="a7"/>
          <w:rFonts w:hint="cs"/>
          <w:rtl/>
        </w:rPr>
        <w:t>:</w:t>
      </w:r>
      <w:r w:rsidRPr="007A71EB">
        <w:rPr>
          <w:rStyle w:val="a7"/>
          <w:rtl/>
        </w:rPr>
        <w:t xml:space="preserve"> אע"פ שאתם רואין כל הדמוייות הללו אלא אנכי י"י</w:t>
      </w:r>
      <w:r w:rsidRPr="007A71EB">
        <w:rPr>
          <w:rStyle w:val="a7"/>
          <w:rFonts w:hint="cs"/>
          <w:rtl/>
        </w:rPr>
        <w:t xml:space="preserve"> אלקיך</w:t>
      </w:r>
      <w:r w:rsidRPr="007A71EB">
        <w:rPr>
          <w:rFonts w:hint="cs"/>
          <w:rtl/>
        </w:rPr>
        <w:t>.</w:t>
      </w:r>
    </w:p>
    <w:p w:rsidR="00710028" w:rsidRPr="007A71EB" w:rsidRDefault="00710028" w:rsidP="00710028">
      <w:pPr>
        <w:pStyle w:val="a3"/>
        <w:rPr>
          <w:rFonts w:hint="cs"/>
          <w:rtl/>
        </w:rPr>
      </w:pPr>
      <w:r>
        <w:rPr>
          <w:rFonts w:hint="cs"/>
          <w:rtl/>
        </w:rPr>
        <w:tab/>
      </w:r>
      <w:r w:rsidRPr="007A71EB">
        <w:rPr>
          <w:rFonts w:hint="cs"/>
          <w:rtl/>
        </w:rPr>
        <w:tab/>
        <w:t xml:space="preserve">[ורמזים אחדים על התארים הללו: </w:t>
      </w:r>
      <w:r w:rsidRPr="00CD06CC">
        <w:rPr>
          <w:rFonts w:hint="cs"/>
          <w:b/>
          <w:bCs/>
          <w:szCs w:val="24"/>
          <w:rtl/>
        </w:rPr>
        <w:t>זועמות</w:t>
      </w:r>
      <w:r w:rsidRPr="007A71EB">
        <w:rPr>
          <w:rFonts w:hint="cs"/>
          <w:rtl/>
        </w:rPr>
        <w:t xml:space="preserve"> (= 529 = 23 בריבוע = </w:t>
      </w:r>
      <w:r w:rsidRPr="00CD06CC">
        <w:rPr>
          <w:rFonts w:hint="cs"/>
          <w:b/>
          <w:bCs/>
          <w:szCs w:val="24"/>
          <w:rtl/>
        </w:rPr>
        <w:t>תענוג</w:t>
      </w:r>
      <w:r w:rsidRPr="007A71EB">
        <w:rPr>
          <w:rFonts w:hint="cs"/>
          <w:rtl/>
        </w:rPr>
        <w:t xml:space="preserve">) </w:t>
      </w:r>
      <w:r w:rsidRPr="00CD06CC">
        <w:rPr>
          <w:rFonts w:hint="cs"/>
          <w:b/>
          <w:bCs/>
          <w:szCs w:val="24"/>
          <w:rtl/>
        </w:rPr>
        <w:t>בינוניות מסבירות שוחקות</w:t>
      </w:r>
      <w:r w:rsidRPr="007A71EB">
        <w:rPr>
          <w:rFonts w:hint="cs"/>
          <w:rtl/>
        </w:rPr>
        <w:t xml:space="preserve"> = 2601 = 51 (</w:t>
      </w:r>
      <w:r w:rsidRPr="00CD06CC">
        <w:rPr>
          <w:rFonts w:hint="cs"/>
          <w:b/>
          <w:bCs/>
          <w:szCs w:val="24"/>
          <w:rtl/>
        </w:rPr>
        <w:t>טוב</w:t>
      </w:r>
      <w:r w:rsidRPr="007A71EB">
        <w:rPr>
          <w:rFonts w:hint="cs"/>
          <w:rtl/>
        </w:rPr>
        <w:t xml:space="preserve"> </w:t>
      </w:r>
      <w:r w:rsidRPr="00CD06CC">
        <w:rPr>
          <w:rFonts w:hint="cs"/>
          <w:b/>
          <w:bCs/>
          <w:szCs w:val="24"/>
          <w:rtl/>
        </w:rPr>
        <w:t>טוב טוב</w:t>
      </w:r>
      <w:r w:rsidRPr="007A71EB">
        <w:rPr>
          <w:rFonts w:hint="cs"/>
          <w:rtl/>
        </w:rPr>
        <w:t xml:space="preserve">) בריבוע! </w:t>
      </w:r>
      <w:r w:rsidRPr="00CD06CC">
        <w:rPr>
          <w:rFonts w:hint="cs"/>
          <w:b/>
          <w:bCs/>
          <w:szCs w:val="24"/>
          <w:rtl/>
        </w:rPr>
        <w:t>פנים זועמות פנים בינוניות פנים מסבירות פנים שוחקות</w:t>
      </w:r>
      <w:r w:rsidRPr="007A71EB">
        <w:rPr>
          <w:rFonts w:hint="cs"/>
          <w:rtl/>
        </w:rPr>
        <w:t xml:space="preserve"> = 3321 = המשולש של 81 (סכום כל המספרים מ-1 עד 81), שהוא הריבוע של 9, הריבוע של 3. 81 = </w:t>
      </w:r>
      <w:r w:rsidRPr="00CD06CC">
        <w:rPr>
          <w:rFonts w:hint="cs"/>
          <w:b/>
          <w:bCs/>
          <w:szCs w:val="24"/>
          <w:rtl/>
        </w:rPr>
        <w:t>אנכי</w:t>
      </w:r>
      <w:r w:rsidRPr="007A71EB">
        <w:rPr>
          <w:rFonts w:hint="cs"/>
          <w:rtl/>
        </w:rPr>
        <w:t xml:space="preserve"> ("אנכי מי שאנכי"), פתיחת וכללות מתן תורה לישראל!].</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AC"/>
    <w:rsid w:val="00061E65"/>
    <w:rsid w:val="006525B7"/>
    <w:rsid w:val="00710028"/>
    <w:rsid w:val="00AC2310"/>
    <w:rsid w:val="00BF3D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10028"/>
    <w:pPr>
      <w:spacing w:after="0" w:line="240" w:lineRule="auto"/>
    </w:pPr>
    <w:rPr>
      <w:sz w:val="20"/>
      <w:szCs w:val="20"/>
    </w:rPr>
  </w:style>
  <w:style w:type="character" w:customStyle="1" w:styleId="a4">
    <w:name w:val="טקסט הערת שוליים תו"/>
    <w:basedOn w:val="a0"/>
    <w:link w:val="a3"/>
    <w:uiPriority w:val="99"/>
    <w:semiHidden/>
    <w:rsid w:val="00710028"/>
    <w:rPr>
      <w:sz w:val="20"/>
      <w:szCs w:val="20"/>
    </w:rPr>
  </w:style>
  <w:style w:type="paragraph" w:customStyle="1" w:styleId="a5">
    <w:name w:val="ציטוט שוליים"/>
    <w:basedOn w:val="a6"/>
    <w:link w:val="a7"/>
    <w:rsid w:val="00710028"/>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710028"/>
    <w:rPr>
      <w:rFonts w:ascii="Times New Roman" w:eastAsia="Times New Roman" w:hAnsi="Times New Roman" w:cs="Guttman Vilna"/>
      <w:i w:val="0"/>
      <w:iCs w:val="0"/>
      <w:noProof/>
      <w:snapToGrid w:val="0"/>
      <w:color w:val="000000" w:themeColor="text1"/>
      <w:sz w:val="26"/>
      <w:szCs w:val="18"/>
      <w:lang w:eastAsia="he-IL"/>
    </w:rPr>
  </w:style>
  <w:style w:type="paragraph" w:styleId="a6">
    <w:name w:val="Quote"/>
    <w:basedOn w:val="a"/>
    <w:next w:val="a"/>
    <w:link w:val="a8"/>
    <w:uiPriority w:val="29"/>
    <w:qFormat/>
    <w:rsid w:val="00710028"/>
    <w:rPr>
      <w:i/>
      <w:iCs/>
      <w:color w:val="000000" w:themeColor="text1"/>
    </w:rPr>
  </w:style>
  <w:style w:type="character" w:customStyle="1" w:styleId="a8">
    <w:name w:val="ציטוט תו"/>
    <w:basedOn w:val="a0"/>
    <w:link w:val="a6"/>
    <w:uiPriority w:val="29"/>
    <w:rsid w:val="00710028"/>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10028"/>
    <w:pPr>
      <w:spacing w:after="0" w:line="240" w:lineRule="auto"/>
    </w:pPr>
    <w:rPr>
      <w:sz w:val="20"/>
      <w:szCs w:val="20"/>
    </w:rPr>
  </w:style>
  <w:style w:type="character" w:customStyle="1" w:styleId="a4">
    <w:name w:val="טקסט הערת שוליים תו"/>
    <w:basedOn w:val="a0"/>
    <w:link w:val="a3"/>
    <w:uiPriority w:val="99"/>
    <w:semiHidden/>
    <w:rsid w:val="00710028"/>
    <w:rPr>
      <w:sz w:val="20"/>
      <w:szCs w:val="20"/>
    </w:rPr>
  </w:style>
  <w:style w:type="paragraph" w:customStyle="1" w:styleId="a5">
    <w:name w:val="ציטוט שוליים"/>
    <w:basedOn w:val="a6"/>
    <w:link w:val="a7"/>
    <w:rsid w:val="00710028"/>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710028"/>
    <w:rPr>
      <w:rFonts w:ascii="Times New Roman" w:eastAsia="Times New Roman" w:hAnsi="Times New Roman" w:cs="Guttman Vilna"/>
      <w:i w:val="0"/>
      <w:iCs w:val="0"/>
      <w:noProof/>
      <w:snapToGrid w:val="0"/>
      <w:color w:val="000000" w:themeColor="text1"/>
      <w:sz w:val="26"/>
      <w:szCs w:val="18"/>
      <w:lang w:eastAsia="he-IL"/>
    </w:rPr>
  </w:style>
  <w:style w:type="paragraph" w:styleId="a6">
    <w:name w:val="Quote"/>
    <w:basedOn w:val="a"/>
    <w:next w:val="a"/>
    <w:link w:val="a8"/>
    <w:uiPriority w:val="29"/>
    <w:qFormat/>
    <w:rsid w:val="00710028"/>
    <w:rPr>
      <w:i/>
      <w:iCs/>
      <w:color w:val="000000" w:themeColor="text1"/>
    </w:rPr>
  </w:style>
  <w:style w:type="character" w:customStyle="1" w:styleId="a8">
    <w:name w:val="ציטוט תו"/>
    <w:basedOn w:val="a0"/>
    <w:link w:val="a6"/>
    <w:uiPriority w:val="29"/>
    <w:rsid w:val="0071002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4027</Characters>
  <Application>Microsoft Office Word</Application>
  <DocSecurity>0</DocSecurity>
  <Lines>33</Lines>
  <Paragraphs>9</Paragraphs>
  <ScaleCrop>false</ScaleCrop>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2017-07-12T10:55:00Z</dcterms:created>
  <dcterms:modified xsi:type="dcterms:W3CDTF">2017-07-12T10:56:00Z</dcterms:modified>
</cp:coreProperties>
</file>