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76E" w:rsidRPr="003D376E" w:rsidRDefault="003D376E" w:rsidP="003D376E">
      <w:pPr>
        <w:keepNext/>
        <w:pageBreakBefore/>
        <w:spacing w:before="600" w:after="0" w:line="480" w:lineRule="exact"/>
        <w:jc w:val="center"/>
        <w:outlineLvl w:val="1"/>
        <w:rPr>
          <w:rFonts w:ascii="Times New Roman" w:eastAsia="Times New Roman" w:hAnsi="Times New Roman" w:cs="IW_Shalom" w:hint="cs"/>
          <w:noProof/>
          <w:spacing w:val="60"/>
          <w:sz w:val="14"/>
          <w:szCs w:val="30"/>
          <w:rtl/>
          <w:lang w:eastAsia="he-IL"/>
        </w:rPr>
      </w:pPr>
      <w:bookmarkStart w:id="0" w:name="_Toc254800201"/>
      <w:bookmarkStart w:id="1" w:name="_Toc254802109"/>
      <w:r w:rsidRPr="003D376E">
        <w:rPr>
          <w:rFonts w:ascii="Times New Roman" w:eastAsia="Times New Roman" w:hAnsi="Times New Roman" w:cs="IW_Shalom" w:hint="cs"/>
          <w:noProof/>
          <w:spacing w:val="60"/>
          <w:sz w:val="14"/>
          <w:szCs w:val="30"/>
          <w:rtl/>
          <w:lang w:eastAsia="he-IL"/>
        </w:rPr>
        <w:t>נספח ד</w:t>
      </w:r>
      <w:bookmarkEnd w:id="0"/>
      <w:bookmarkEnd w:id="1"/>
    </w:p>
    <w:p w:rsidR="003D376E" w:rsidRPr="003D376E" w:rsidRDefault="003D376E" w:rsidP="003D376E">
      <w:pPr>
        <w:keepNext/>
        <w:spacing w:before="240" w:after="240" w:line="480" w:lineRule="exact"/>
        <w:jc w:val="center"/>
        <w:outlineLvl w:val="1"/>
        <w:rPr>
          <w:rFonts w:ascii="Times New Roman" w:eastAsia="Times New Roman" w:hAnsi="Times New Roman" w:cs="IW_Shalom" w:hint="cs"/>
          <w:b/>
          <w:noProof/>
          <w:sz w:val="42"/>
          <w:szCs w:val="40"/>
          <w:rtl/>
          <w:lang w:eastAsia="he-IL"/>
        </w:rPr>
      </w:pPr>
      <w:bookmarkStart w:id="2" w:name="_Toc254800202"/>
      <w:bookmarkStart w:id="3" w:name="_Ref254801661"/>
      <w:bookmarkStart w:id="4" w:name="_Toc254802110"/>
      <w:r w:rsidRPr="003D376E">
        <w:rPr>
          <w:rFonts w:ascii="Times New Roman" w:eastAsia="Times New Roman" w:hAnsi="Times New Roman" w:cs="IW_Shalom" w:hint="cs"/>
          <w:b/>
          <w:noProof/>
          <w:sz w:val="42"/>
          <w:szCs w:val="40"/>
          <w:rtl/>
          <w:lang w:eastAsia="he-IL"/>
        </w:rPr>
        <w:t>לסיום: רמז משיחי</w:t>
      </w:r>
      <w:bookmarkEnd w:id="2"/>
      <w:bookmarkEnd w:id="3"/>
      <w:bookmarkEnd w:id="4"/>
    </w:p>
    <w:p w:rsidR="003D376E" w:rsidRPr="003D376E" w:rsidRDefault="003D376E" w:rsidP="003D376E">
      <w:pPr>
        <w:spacing w:before="60" w:after="60" w:line="350" w:lineRule="exact"/>
        <w:jc w:val="both"/>
        <w:rPr>
          <w:rFonts w:ascii="Times New Roman" w:eastAsia="Times New Roman" w:hAnsi="Times New Roman" w:cs="oprFrank" w:hint="cs"/>
          <w:noProof/>
          <w:sz w:val="26"/>
          <w:szCs w:val="27"/>
          <w:rtl/>
          <w:lang w:eastAsia="he-IL"/>
        </w:rPr>
      </w:pPr>
      <w:r w:rsidRPr="003D376E">
        <w:rPr>
          <w:rFonts w:ascii="Times New Roman" w:eastAsia="Times New Roman" w:hAnsi="Times New Roman" w:cs="oprFrank" w:hint="cs"/>
          <w:noProof/>
          <w:sz w:val="26"/>
          <w:szCs w:val="27"/>
          <w:rtl/>
          <w:lang w:eastAsia="he-IL"/>
        </w:rPr>
        <w:t xml:space="preserve">כתב הרמב"ם (הל' טו"נ, ט, ז): </w:t>
      </w:r>
    </w:p>
    <w:p w:rsidR="003D376E" w:rsidRPr="003D376E" w:rsidRDefault="003D376E" w:rsidP="003D376E">
      <w:pPr>
        <w:spacing w:before="60" w:after="60" w:line="360" w:lineRule="exact"/>
        <w:ind w:left="720"/>
        <w:contextualSpacing/>
        <w:jc w:val="both"/>
        <w:rPr>
          <w:rFonts w:ascii="Times New Roman" w:eastAsia="Times New Roman" w:hAnsi="Times New Roman" w:cs="Guttman Vilna" w:hint="cs"/>
          <w:noProof/>
          <w:sz w:val="26"/>
          <w:szCs w:val="21"/>
          <w:rtl/>
          <w:lang w:eastAsia="he-IL"/>
        </w:rPr>
      </w:pPr>
      <w:r w:rsidRPr="003D376E">
        <w:rPr>
          <w:rFonts w:ascii="Times New Roman" w:eastAsia="Times New Roman" w:hAnsi="Times New Roman" w:cs="Guttman Vilna" w:hint="cs"/>
          <w:noProof/>
          <w:sz w:val="20"/>
          <w:szCs w:val="21"/>
          <w:rtl/>
          <w:lang w:eastAsia="he-IL"/>
        </w:rPr>
        <w:t>שנים שהיו אוחזין בכלי אחד, או שהיו רוכבין על גבי בהמה אחת, או שהיה אחד רוכב ואחד מנהיג, או יושבין בצד ערמה של חיטים, ומונחות בסמטא או בחצר של שניהם, זה אומר הכל שלי וזה אומר הכל שלי, כל אחד משניהן נשבע בנקיטת חפץ שאין לו בזה הדבר פחות מחציה, ויחלוקו</w:t>
      </w:r>
      <w:r w:rsidRPr="003D376E">
        <w:rPr>
          <w:rFonts w:ascii="Times New Roman" w:eastAsia="Times New Roman" w:hAnsi="Times New Roman" w:cs="Guttman Vilna" w:hint="cs"/>
          <w:noProof/>
          <w:sz w:val="26"/>
          <w:szCs w:val="21"/>
          <w:rtl/>
          <w:lang w:eastAsia="he-IL"/>
        </w:rPr>
        <w:t>.</w:t>
      </w:r>
    </w:p>
    <w:p w:rsidR="003D376E" w:rsidRPr="003D376E" w:rsidRDefault="003D376E" w:rsidP="003D376E">
      <w:pPr>
        <w:spacing w:before="60" w:after="60" w:line="350" w:lineRule="exact"/>
        <w:jc w:val="both"/>
        <w:rPr>
          <w:rFonts w:ascii="Times New Roman" w:eastAsia="Times New Roman" w:hAnsi="Times New Roman" w:cs="oprFrank" w:hint="cs"/>
          <w:noProof/>
          <w:sz w:val="26"/>
          <w:szCs w:val="27"/>
          <w:rtl/>
          <w:lang w:eastAsia="he-IL"/>
        </w:rPr>
      </w:pPr>
      <w:r w:rsidRPr="003D376E">
        <w:rPr>
          <w:rFonts w:ascii="Times New Roman" w:eastAsia="Times New Roman" w:hAnsi="Times New Roman" w:cs="oprFrank" w:hint="cs"/>
          <w:noProof/>
          <w:sz w:val="26"/>
          <w:szCs w:val="27"/>
          <w:rtl/>
          <w:lang w:eastAsia="he-IL"/>
        </w:rPr>
        <w:t xml:space="preserve">שלשת המקרים הראשונים מופיעים במשנה: </w:t>
      </w:r>
      <w:r w:rsidRPr="003D376E">
        <w:rPr>
          <w:rFonts w:ascii="Times New Roman" w:eastAsia="Times New Roman" w:hAnsi="Times New Roman" w:cs="oprFrank" w:hint="cs"/>
          <w:b/>
          <w:bCs/>
          <w:noProof/>
          <w:sz w:val="27"/>
          <w:szCs w:val="28"/>
          <w:rtl/>
          <w:lang w:eastAsia="he-IL"/>
        </w:rPr>
        <w:t>אוחז</w:t>
      </w:r>
      <w:r w:rsidRPr="003D376E">
        <w:rPr>
          <w:rFonts w:ascii="Times New Roman" w:eastAsia="Times New Roman" w:hAnsi="Times New Roman" w:cs="oprFrank" w:hint="cs"/>
          <w:noProof/>
          <w:sz w:val="26"/>
          <w:szCs w:val="27"/>
          <w:rtl/>
          <w:lang w:eastAsia="he-IL"/>
        </w:rPr>
        <w:t xml:space="preserve">, </w:t>
      </w:r>
      <w:r w:rsidRPr="003D376E">
        <w:rPr>
          <w:rFonts w:ascii="Times New Roman" w:eastAsia="Times New Roman" w:hAnsi="Times New Roman" w:cs="oprFrank" w:hint="cs"/>
          <w:b/>
          <w:bCs/>
          <w:noProof/>
          <w:sz w:val="27"/>
          <w:szCs w:val="28"/>
          <w:rtl/>
          <w:lang w:eastAsia="he-IL"/>
        </w:rPr>
        <w:t>רוכב</w:t>
      </w:r>
      <w:r w:rsidRPr="003D376E">
        <w:rPr>
          <w:rFonts w:ascii="Times New Roman" w:eastAsia="Times New Roman" w:hAnsi="Times New Roman" w:cs="oprFrank" w:hint="cs"/>
          <w:noProof/>
          <w:sz w:val="26"/>
          <w:szCs w:val="27"/>
          <w:rtl/>
          <w:lang w:eastAsia="he-IL"/>
        </w:rPr>
        <w:t xml:space="preserve">, </w:t>
      </w:r>
      <w:r w:rsidRPr="003D376E">
        <w:rPr>
          <w:rFonts w:ascii="Times New Roman" w:eastAsia="Times New Roman" w:hAnsi="Times New Roman" w:cs="oprFrank" w:hint="cs"/>
          <w:b/>
          <w:bCs/>
          <w:noProof/>
          <w:sz w:val="27"/>
          <w:szCs w:val="28"/>
          <w:rtl/>
          <w:lang w:eastAsia="he-IL"/>
        </w:rPr>
        <w:t>מנהיג</w:t>
      </w:r>
      <w:r w:rsidRPr="003D376E">
        <w:rPr>
          <w:rFonts w:ascii="Times New Roman" w:eastAsia="Times New Roman" w:hAnsi="Times New Roman" w:cs="oprFrank" w:hint="cs"/>
          <w:noProof/>
          <w:sz w:val="26"/>
          <w:szCs w:val="27"/>
          <w:rtl/>
          <w:lang w:eastAsia="he-IL"/>
        </w:rPr>
        <w:t xml:space="preserve"> = </w:t>
      </w:r>
      <w:r w:rsidRPr="003D376E">
        <w:rPr>
          <w:rFonts w:ascii="Times New Roman" w:eastAsia="Times New Roman" w:hAnsi="Times New Roman" w:cs="oprFrank" w:hint="cs"/>
          <w:b/>
          <w:bCs/>
          <w:noProof/>
          <w:sz w:val="27"/>
          <w:szCs w:val="28"/>
          <w:rtl/>
          <w:lang w:eastAsia="he-IL"/>
        </w:rPr>
        <w:t>משיח</w:t>
      </w:r>
      <w:r w:rsidRPr="003D376E">
        <w:rPr>
          <w:rFonts w:ascii="Times New Roman" w:eastAsia="Times New Roman" w:hAnsi="Times New Roman" w:cs="oprFrank" w:hint="cs"/>
          <w:noProof/>
          <w:sz w:val="26"/>
          <w:szCs w:val="27"/>
          <w:rtl/>
          <w:lang w:eastAsia="he-IL"/>
        </w:rPr>
        <w:t xml:space="preserve">. </w:t>
      </w:r>
      <w:r w:rsidRPr="003D376E">
        <w:rPr>
          <w:rFonts w:ascii="Times New Roman" w:eastAsia="Times New Roman" w:hAnsi="Times New Roman" w:cs="MiriamMFO" w:hint="cs"/>
          <w:noProof/>
          <w:rtl/>
          <w:lang w:eastAsia="he-IL"/>
        </w:rPr>
        <w:t>מנהיג</w:t>
      </w:r>
      <w:r w:rsidRPr="003D376E">
        <w:rPr>
          <w:rFonts w:ascii="Times New Roman" w:eastAsia="Times New Roman" w:hAnsi="Times New Roman" w:cs="oprFrank" w:hint="cs"/>
          <w:noProof/>
          <w:sz w:val="26"/>
          <w:szCs w:val="27"/>
          <w:rtl/>
          <w:lang w:eastAsia="he-IL"/>
        </w:rPr>
        <w:t xml:space="preserve"> כינוי הוא למשיח באופן כללי ("כי מרחמם ינהגם", </w:t>
      </w:r>
      <w:r w:rsidRPr="003D376E">
        <w:rPr>
          <w:rFonts w:ascii="Times New Roman" w:eastAsia="Times New Roman" w:hAnsi="Times New Roman" w:cs="oprFrank" w:hint="cs"/>
          <w:b/>
          <w:bCs/>
          <w:noProof/>
          <w:sz w:val="27"/>
          <w:szCs w:val="28"/>
          <w:rtl/>
          <w:lang w:eastAsia="he-IL"/>
        </w:rPr>
        <w:t>כי מרחמם</w:t>
      </w:r>
      <w:r w:rsidRPr="003D376E">
        <w:rPr>
          <w:rFonts w:ascii="Times New Roman" w:eastAsia="Times New Roman" w:hAnsi="Times New Roman" w:cs="oprFrank" w:hint="cs"/>
          <w:noProof/>
          <w:sz w:val="26"/>
          <w:szCs w:val="27"/>
          <w:rtl/>
          <w:lang w:eastAsia="he-IL"/>
        </w:rPr>
        <w:t xml:space="preserve"> = </w:t>
      </w:r>
      <w:r w:rsidRPr="003D376E">
        <w:rPr>
          <w:rFonts w:ascii="Times New Roman" w:eastAsia="Times New Roman" w:hAnsi="Times New Roman" w:cs="oprFrank" w:hint="cs"/>
          <w:b/>
          <w:bCs/>
          <w:noProof/>
          <w:sz w:val="27"/>
          <w:szCs w:val="28"/>
          <w:rtl/>
          <w:lang w:eastAsia="he-IL"/>
        </w:rPr>
        <w:t>משיח</w:t>
      </w:r>
      <w:r w:rsidRPr="003D376E">
        <w:rPr>
          <w:rFonts w:ascii="Times New Roman" w:eastAsia="Times New Roman" w:hAnsi="Times New Roman" w:cs="oprFrank" w:hint="cs"/>
          <w:noProof/>
          <w:sz w:val="26"/>
          <w:szCs w:val="27"/>
          <w:rtl/>
          <w:lang w:eastAsia="he-IL"/>
        </w:rPr>
        <w:t xml:space="preserve">, </w:t>
      </w:r>
      <w:r w:rsidRPr="003D376E">
        <w:rPr>
          <w:rFonts w:ascii="Times New Roman" w:eastAsia="Times New Roman" w:hAnsi="Times New Roman" w:cs="oprFrank" w:hint="cs"/>
          <w:b/>
          <w:bCs/>
          <w:noProof/>
          <w:sz w:val="27"/>
          <w:szCs w:val="28"/>
          <w:rtl/>
          <w:lang w:eastAsia="he-IL"/>
        </w:rPr>
        <w:t>ינהגם</w:t>
      </w:r>
      <w:r w:rsidRPr="003D376E">
        <w:rPr>
          <w:rFonts w:ascii="Times New Roman" w:eastAsia="Times New Roman" w:hAnsi="Times New Roman" w:cs="oprFrank" w:hint="cs"/>
          <w:noProof/>
          <w:sz w:val="26"/>
          <w:szCs w:val="27"/>
          <w:rtl/>
          <w:lang w:eastAsia="he-IL"/>
        </w:rPr>
        <w:t xml:space="preserve"> אותיות </w:t>
      </w:r>
      <w:r w:rsidRPr="003D376E">
        <w:rPr>
          <w:rFonts w:ascii="Times New Roman" w:eastAsia="Times New Roman" w:hAnsi="Times New Roman" w:cs="oprFrank" w:hint="cs"/>
          <w:b/>
          <w:bCs/>
          <w:noProof/>
          <w:sz w:val="27"/>
          <w:szCs w:val="28"/>
          <w:rtl/>
          <w:lang w:eastAsia="he-IL"/>
        </w:rPr>
        <w:t>מנהיג)</w:t>
      </w:r>
      <w:r w:rsidRPr="003D376E">
        <w:rPr>
          <w:rFonts w:ascii="Times New Roman" w:eastAsia="Times New Roman" w:hAnsi="Times New Roman" w:cs="oprFrank" w:hint="cs"/>
          <w:noProof/>
          <w:sz w:val="26"/>
          <w:szCs w:val="27"/>
          <w:rtl/>
          <w:lang w:eastAsia="he-IL"/>
        </w:rPr>
        <w:t>, רוכב הרי הוא העני הרוכב על חמור, בחינת משיח בן דוד, ו</w:t>
      </w:r>
      <w:r w:rsidRPr="003D376E">
        <w:rPr>
          <w:rFonts w:ascii="Times New Roman" w:eastAsia="Times New Roman" w:hAnsi="Times New Roman" w:cs="MiriamMFO" w:hint="cs"/>
          <w:noProof/>
          <w:rtl/>
          <w:lang w:eastAsia="he-IL"/>
        </w:rPr>
        <w:t>אוחז</w:t>
      </w:r>
      <w:r w:rsidRPr="003D376E">
        <w:rPr>
          <w:rFonts w:ascii="Times New Roman" w:eastAsia="Times New Roman" w:hAnsi="Times New Roman" w:cs="oprFrank" w:hint="cs"/>
          <w:noProof/>
          <w:sz w:val="26"/>
          <w:szCs w:val="27"/>
          <w:rtl/>
          <w:lang w:eastAsia="he-IL"/>
        </w:rPr>
        <w:t xml:space="preserve">, בהתאם לכך, הריהו משיח בן יוסף, כמבואר שצדיק יסוד עולם, בחינת יוסף, "אחיד בשמיא וארעא". </w:t>
      </w:r>
    </w:p>
    <w:p w:rsidR="003D376E" w:rsidRPr="003D376E" w:rsidRDefault="003D376E" w:rsidP="003D376E">
      <w:pPr>
        <w:spacing w:before="60" w:after="60" w:line="350" w:lineRule="exact"/>
        <w:jc w:val="both"/>
        <w:rPr>
          <w:rFonts w:ascii="Times New Roman" w:eastAsia="Times New Roman" w:hAnsi="Times New Roman" w:cs="oprFrank" w:hint="cs"/>
          <w:noProof/>
          <w:sz w:val="26"/>
          <w:szCs w:val="27"/>
          <w:rtl/>
          <w:lang w:eastAsia="he-IL"/>
        </w:rPr>
      </w:pPr>
      <w:r w:rsidRPr="003D376E">
        <w:rPr>
          <w:rFonts w:ascii="Times New Roman" w:eastAsia="Times New Roman" w:hAnsi="Times New Roman" w:cs="oprFrank" w:hint="cs"/>
          <w:noProof/>
          <w:sz w:val="26"/>
          <w:szCs w:val="27"/>
          <w:rtl/>
          <w:lang w:eastAsia="he-IL"/>
        </w:rPr>
        <w:t>באחרונים מבואר שבשני רוכבים היתה הו"א לומר שהרוכב הקדמי תפוס בבהמה יותר מן האחורי, אשר נראה ממיקומו כי קפץ והצטרף, או כי עבד הוא הרוכב אחרי האדון, ובאה המשנה ללמד שאין רואים את האחורי כטפל. הענין מזכיר את הדיונים על מקומו של משיח ביחס לה', ראה סנהדרין לח, ב, ועוד.</w:t>
      </w:r>
    </w:p>
    <w:p w:rsidR="003D376E" w:rsidRPr="003D376E" w:rsidRDefault="003D376E" w:rsidP="003D376E">
      <w:pPr>
        <w:spacing w:before="60" w:after="60" w:line="350" w:lineRule="exact"/>
        <w:jc w:val="both"/>
        <w:rPr>
          <w:rFonts w:ascii="Times New Roman" w:eastAsia="Times New Roman" w:hAnsi="Times New Roman" w:cs="oprFrank" w:hint="cs"/>
          <w:noProof/>
          <w:sz w:val="26"/>
          <w:szCs w:val="27"/>
          <w:rtl/>
          <w:lang w:eastAsia="he-IL"/>
        </w:rPr>
      </w:pPr>
      <w:r w:rsidRPr="003D376E">
        <w:rPr>
          <w:rFonts w:ascii="Times New Roman" w:eastAsia="Times New Roman" w:hAnsi="Times New Roman" w:cs="oprFrank" w:hint="cs"/>
          <w:noProof/>
          <w:sz w:val="26"/>
          <w:szCs w:val="27"/>
          <w:rtl/>
          <w:lang w:eastAsia="he-IL"/>
        </w:rPr>
        <w:t>הרמב"ם הוסיף לשלשת המצבים מצב של "יושב". אם נצרפו לחשבון שלשת הראשונים, תעלה הגימ' 26</w:t>
      </w:r>
      <w:r w:rsidRPr="003D376E">
        <w:rPr>
          <w:rFonts w:ascii="Times New Roman" w:eastAsia="Times New Roman" w:hAnsi="Times New Roman" w:cs="oprFrank" w:hint="cs"/>
          <w:noProof/>
          <w:position w:val="6"/>
          <w:sz w:val="16"/>
          <w:szCs w:val="27"/>
          <w:rtl/>
          <w:lang w:eastAsia="he-IL"/>
        </w:rPr>
        <w:t>2</w:t>
      </w:r>
      <w:r w:rsidRPr="003D376E">
        <w:rPr>
          <w:rFonts w:ascii="Times New Roman" w:eastAsia="Times New Roman" w:hAnsi="Times New Roman" w:cs="oprFrank" w:hint="cs"/>
          <w:noProof/>
          <w:sz w:val="26"/>
          <w:szCs w:val="27"/>
          <w:rtl/>
          <w:lang w:eastAsia="he-IL"/>
        </w:rPr>
        <w:t>.</w:t>
      </w:r>
    </w:p>
    <w:p w:rsidR="003D376E" w:rsidRPr="003D376E" w:rsidRDefault="003D376E" w:rsidP="003D376E">
      <w:pPr>
        <w:spacing w:before="60" w:after="60" w:line="350" w:lineRule="exact"/>
        <w:jc w:val="both"/>
        <w:rPr>
          <w:rFonts w:ascii="Times New Roman" w:eastAsia="Times New Roman" w:hAnsi="Times New Roman" w:cs="oprFrank" w:hint="cs"/>
          <w:noProof/>
          <w:sz w:val="26"/>
          <w:szCs w:val="27"/>
          <w:rtl/>
          <w:lang w:eastAsia="he-IL"/>
        </w:rPr>
      </w:pPr>
      <w:r w:rsidRPr="003D376E">
        <w:rPr>
          <w:rFonts w:ascii="Times New Roman" w:eastAsia="Times New Roman" w:hAnsi="Times New Roman" w:cs="oprFrank" w:hint="cs"/>
          <w:noProof/>
          <w:sz w:val="26"/>
          <w:szCs w:val="27"/>
          <w:rtl/>
          <w:lang w:eastAsia="he-IL"/>
        </w:rPr>
        <w:t xml:space="preserve">ארבעת הכינויים הללו מציגים סדר מתפתח של גואל: קודם יש לאחוז בענין, אח"כ להתחיל להנהיג על ידי רכיבה. הרוכב מצליח להנהיג את הבהמה מפני שהוא מעליה, מפני השתלטותו, אבל זה גופא יוצר מצב שיותר מדי דבוק בה וחסר אובייקטיביות כלפיה. לעומתו המנהיג מנהיג מרחוק, תוך בטחון שתלך אחריו. הרוכב היה עני הרוכב על חמור לקראת הופעתו המשיחית, בעוד המנהיג הוא כבר מנהיג מוכר. היושב הוא בחינת ישיבת ארץ ישראל במנוחה לאחר ההולכה הממושכת, ובחינת תורה חדשה שתצא אז, כאשר כל ישראל ישבו לבטח ותתישב מלכותו של המשיח, כמבואר בפרק האחרון בהל' מלכים. </w:t>
      </w:r>
    </w:p>
    <w:p w:rsidR="005F4A47" w:rsidRDefault="003D376E">
      <w:bookmarkStart w:id="5" w:name="_GoBack"/>
      <w:bookmarkEnd w:id="5"/>
    </w:p>
    <w:sectPr w:rsidR="005F4A47" w:rsidSect="00061E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W_Shalom">
    <w:charset w:val="B1"/>
    <w:family w:val="auto"/>
    <w:pitch w:val="variable"/>
    <w:sig w:usb0="00001801" w:usb1="00000000" w:usb2="00000000" w:usb3="00000000" w:csb0="00000020" w:csb1="00000000"/>
  </w:font>
  <w:font w:name="oprFrank">
    <w:altName w:val="Courier New"/>
    <w:charset w:val="00"/>
    <w:family w:val="auto"/>
    <w:pitch w:val="variable"/>
    <w:sig w:usb0="00000000" w:usb1="00000000" w:usb2="00000000" w:usb3="00000000" w:csb0="00000021" w:csb1="00000000"/>
  </w:font>
  <w:font w:name="Guttman Vilna">
    <w:panose1 w:val="02010401010101010101"/>
    <w:charset w:val="B1"/>
    <w:family w:val="auto"/>
    <w:pitch w:val="variable"/>
    <w:sig w:usb0="00000801"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DFB"/>
    <w:rsid w:val="00061E65"/>
    <w:rsid w:val="00207DFB"/>
    <w:rsid w:val="003D376E"/>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1233</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2017-07-12T10:56:00Z</dcterms:created>
  <dcterms:modified xsi:type="dcterms:W3CDTF">2017-07-12T10:57:00Z</dcterms:modified>
</cp:coreProperties>
</file>