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352" w:rsidRPr="00284352" w:rsidRDefault="00284352" w:rsidP="00284352">
      <w:pPr>
        <w:keepNext/>
        <w:spacing w:before="240" w:after="240" w:line="480" w:lineRule="exact"/>
        <w:jc w:val="center"/>
        <w:outlineLvl w:val="1"/>
        <w:rPr>
          <w:rFonts w:ascii="Times New Roman" w:eastAsia="Times New Roman" w:hAnsi="Times New Roman" w:cs="IW_Shalom" w:hint="cs"/>
          <w:b/>
          <w:noProof/>
          <w:sz w:val="42"/>
          <w:szCs w:val="40"/>
          <w:rtl/>
          <w:lang w:eastAsia="he-IL"/>
        </w:rPr>
      </w:pPr>
      <w:bookmarkStart w:id="0" w:name="_Toc254800204"/>
      <w:bookmarkStart w:id="1" w:name="_Toc254802112"/>
      <w:r w:rsidRPr="00284352">
        <w:rPr>
          <w:rFonts w:ascii="Times New Roman" w:eastAsia="Times New Roman" w:hAnsi="Times New Roman" w:cs="IW_Shalom" w:hint="cs"/>
          <w:b/>
          <w:noProof/>
          <w:sz w:val="42"/>
          <w:szCs w:val="40"/>
          <w:rtl/>
          <w:lang w:eastAsia="he-IL"/>
        </w:rPr>
        <w:t>מצאתיה – ראיתיה</w:t>
      </w:r>
      <w:bookmarkEnd w:id="0"/>
      <w:bookmarkEnd w:id="1"/>
    </w:p>
    <w:p w:rsidR="00284352" w:rsidRPr="00284352" w:rsidRDefault="00284352" w:rsidP="00284352">
      <w:pPr>
        <w:spacing w:before="60" w:after="60" w:line="360" w:lineRule="exact"/>
        <w:ind w:left="720"/>
        <w:contextualSpacing/>
        <w:jc w:val="both"/>
        <w:rPr>
          <w:rFonts w:ascii="Times New Roman" w:eastAsia="Times New Roman" w:hAnsi="Times New Roman" w:cs="Guttman Vilna" w:hint="cs"/>
          <w:noProof/>
          <w:sz w:val="20"/>
          <w:szCs w:val="21"/>
          <w:rtl/>
          <w:lang w:eastAsia="he-IL"/>
        </w:rPr>
      </w:pPr>
      <w:r w:rsidRPr="00284352">
        <w:rPr>
          <w:rFonts w:ascii="Times New Roman" w:eastAsia="Times New Roman" w:hAnsi="Times New Roman" w:cs="Guttman Vilna" w:hint="cs"/>
          <w:noProof/>
          <w:sz w:val="20"/>
          <w:szCs w:val="21"/>
          <w:rtl/>
          <w:lang w:eastAsia="he-IL"/>
        </w:rPr>
        <w:t>אי תנא 'אני מצאתיה', הוה אמינא מאי מצאתיה – ראיתיה; אע"ג דלא אתאי לידיה – בראיה בעלמא קני; תנא 'כולה שלי', דבראיה לא קני.</w:t>
      </w:r>
    </w:p>
    <w:p w:rsidR="00284352" w:rsidRPr="00284352" w:rsidRDefault="00284352" w:rsidP="00284352">
      <w:pPr>
        <w:spacing w:before="60" w:after="60" w:line="350" w:lineRule="exact"/>
        <w:jc w:val="both"/>
        <w:rPr>
          <w:rFonts w:ascii="Times New Roman" w:eastAsia="Times New Roman" w:hAnsi="Times New Roman" w:cs="oprFrank" w:hint="cs"/>
          <w:noProof/>
          <w:sz w:val="26"/>
          <w:szCs w:val="27"/>
          <w:rtl/>
          <w:lang w:eastAsia="he-IL"/>
        </w:rPr>
      </w:pPr>
      <w:r w:rsidRPr="00284352">
        <w:rPr>
          <w:rFonts w:ascii="Times New Roman" w:eastAsia="Times New Roman" w:hAnsi="Times New Roman" w:cs="oprFrank" w:hint="cs"/>
          <w:noProof/>
          <w:sz w:val="26"/>
          <w:szCs w:val="27"/>
          <w:rtl/>
          <w:lang w:eastAsia="he-IL"/>
        </w:rPr>
        <w:t xml:space="preserve">הגמרא סוברת בתחילה שאריכות הדברים במשנה </w:t>
      </w:r>
      <w:r w:rsidRPr="00284352">
        <w:rPr>
          <w:rFonts w:ascii="Times New Roman" w:eastAsia="Times New Roman" w:hAnsi="Times New Roman" w:cs="oprFrank" w:hint="eastAsia"/>
          <w:noProof/>
          <w:sz w:val="26"/>
          <w:szCs w:val="27"/>
          <w:rtl/>
          <w:lang w:eastAsia="he-IL"/>
        </w:rPr>
        <w:t xml:space="preserve">– </w:t>
      </w:r>
      <w:r w:rsidRPr="00284352">
        <w:rPr>
          <w:rFonts w:ascii="Times New Roman" w:eastAsia="Times New Roman" w:hAnsi="Times New Roman" w:cs="oprFrank" w:hint="cs"/>
          <w:noProof/>
          <w:sz w:val="26"/>
          <w:szCs w:val="27"/>
          <w:rtl/>
          <w:lang w:eastAsia="he-IL"/>
        </w:rPr>
        <w:t>דתנא "כולה שלי" בנוסף ל"אני מצאתיה" – נועדה לשלול הו"א שראיה בעלמא קונה</w:t>
      </w:r>
      <w:r w:rsidRPr="00284352">
        <w:rPr>
          <w:rFonts w:ascii="Times New Roman" w:eastAsia="Times New Roman" w:hAnsi="Times New Roman" w:cs="oprFrank"/>
          <w:noProof/>
          <w:position w:val="-5"/>
          <w:szCs w:val="27"/>
          <w:vertAlign w:val="superscript"/>
          <w:rtl/>
          <w:lang w:eastAsia="he-IL"/>
        </w:rPr>
        <w:footnoteReference w:id="1"/>
      </w:r>
      <w:r w:rsidRPr="00284352">
        <w:rPr>
          <w:rFonts w:ascii="Times New Roman" w:eastAsia="Times New Roman" w:hAnsi="Times New Roman" w:cs="oprFrank" w:hint="cs"/>
          <w:noProof/>
          <w:sz w:val="26"/>
          <w:szCs w:val="27"/>
          <w:rtl/>
          <w:lang w:eastAsia="he-IL"/>
        </w:rPr>
        <w:t>. בתוספות</w:t>
      </w:r>
      <w:r w:rsidRPr="00284352">
        <w:rPr>
          <w:rFonts w:ascii="Times New Roman" w:eastAsia="Times New Roman" w:hAnsi="Times New Roman" w:cs="oprFrank"/>
          <w:noProof/>
          <w:position w:val="-5"/>
          <w:szCs w:val="27"/>
          <w:vertAlign w:val="superscript"/>
          <w:rtl/>
          <w:lang w:eastAsia="he-IL"/>
        </w:rPr>
        <w:footnoteReference w:id="2"/>
      </w:r>
      <w:r w:rsidRPr="00284352">
        <w:rPr>
          <w:rFonts w:ascii="Times New Roman" w:eastAsia="Times New Roman" w:hAnsi="Times New Roman" w:cs="oprFrank" w:hint="cs"/>
          <w:noProof/>
          <w:sz w:val="26"/>
          <w:szCs w:val="27"/>
          <w:rtl/>
          <w:lang w:eastAsia="he-IL"/>
        </w:rPr>
        <w:t xml:space="preserve"> מקשה על כך כי מסוף המסכת נראה שהבטה בהפקר אכן קונה: </w:t>
      </w:r>
      <w:r w:rsidRPr="00284352">
        <w:rPr>
          <w:rFonts w:ascii="Times New Roman" w:eastAsia="Times New Roman" w:hAnsi="Times New Roman" w:cs="Guttman Vilna" w:hint="cs"/>
          <w:noProof/>
          <w:szCs w:val="21"/>
          <w:rtl/>
          <w:lang w:eastAsia="he-IL"/>
        </w:rPr>
        <w:t>והא דאמרינן בפרק הבית והעליה (לקמן קיח, א) "הבטה בהפקר קני"</w:t>
      </w:r>
      <w:r w:rsidRPr="00284352">
        <w:rPr>
          <w:rFonts w:ascii="Times New Roman" w:eastAsia="Times New Roman" w:hAnsi="Times New Roman" w:cs="oprFrank" w:hint="cs"/>
          <w:noProof/>
          <w:sz w:val="26"/>
          <w:szCs w:val="27"/>
          <w:rtl/>
          <w:lang w:eastAsia="he-IL"/>
        </w:rPr>
        <w:t xml:space="preserve"> (ואמנם אין דעה זו שמביא תוס' הדעה ה'שלטת' שם, אבל מסתבר לומר שסוגייתנו היא לכוליה עלמא, כי סוגייתנו אינה מותירה שום פתח לסבור שיש מקום של ממש לדעה זו, אלא רק דנה האם יש צורך בכלל לשלול אותה. אכן, יש סוברים שכוונת התוס' לפסוק בסוגיה שבסוף המסכת כי הבטה בהפקר אמנם קונה), ומתרץ: </w:t>
      </w:r>
      <w:r w:rsidRPr="00284352">
        <w:rPr>
          <w:rFonts w:ascii="Times New Roman" w:eastAsia="Times New Roman" w:hAnsi="Times New Roman" w:cs="Guttman Vilna" w:hint="cs"/>
          <w:noProof/>
          <w:szCs w:val="21"/>
          <w:rtl/>
          <w:lang w:eastAsia="he-IL"/>
        </w:rPr>
        <w:t xml:space="preserve">היינו שעשה מעשה כל דהו, כגון שגדר גדר קטן. </w:t>
      </w:r>
      <w:r w:rsidRPr="00284352">
        <w:rPr>
          <w:rFonts w:ascii="Times New Roman" w:eastAsia="Times New Roman" w:hAnsi="Times New Roman" w:cs="oprFrank" w:hint="cs"/>
          <w:noProof/>
          <w:sz w:val="26"/>
          <w:szCs w:val="27"/>
          <w:rtl/>
          <w:lang w:eastAsia="he-IL"/>
        </w:rPr>
        <w:t xml:space="preserve">כוונת התוס' שהסובר כי "הבטה בהפקר קני" מתכוון להבטה שכרוך בה מעשה כלשהו, מעשה הממחיש כי העינים עוסקות בשמירת הדבר בו הן מביטות. שאר הראשונים, שלא פירשו כך, חילקו בין ראיה בעלמא </w:t>
      </w:r>
      <w:r w:rsidRPr="00284352">
        <w:rPr>
          <w:rFonts w:ascii="Times New Roman" w:eastAsia="Times New Roman" w:hAnsi="Times New Roman" w:cs="oprFrank" w:hint="eastAsia"/>
          <w:noProof/>
          <w:sz w:val="26"/>
          <w:szCs w:val="27"/>
          <w:rtl/>
          <w:lang w:eastAsia="he-IL"/>
        </w:rPr>
        <w:t xml:space="preserve">– </w:t>
      </w:r>
      <w:r w:rsidRPr="00284352">
        <w:rPr>
          <w:rFonts w:ascii="Times New Roman" w:eastAsia="Times New Roman" w:hAnsi="Times New Roman" w:cs="oprFrank" w:hint="cs"/>
          <w:noProof/>
          <w:sz w:val="26"/>
          <w:szCs w:val="27"/>
          <w:rtl/>
          <w:lang w:eastAsia="he-IL"/>
        </w:rPr>
        <w:t>שההו"א בגמרא כאן מדמה לפעולת קנין – לבין הבטה המתפקדת כפעולת שמירה ממושכת, כ"מלאכת הבטה" שיש ממנה תוצאות בעולם המעשה (הדבר נשמר), אשר רק מכוחה יתכן לקנות את הדבר המשתמר</w:t>
      </w:r>
      <w:r w:rsidRPr="00284352">
        <w:rPr>
          <w:rFonts w:ascii="Times New Roman" w:eastAsia="Times New Roman" w:hAnsi="Times New Roman" w:cs="oprFrank"/>
          <w:noProof/>
          <w:position w:val="-5"/>
          <w:szCs w:val="27"/>
          <w:vertAlign w:val="superscript"/>
          <w:rtl/>
          <w:lang w:eastAsia="he-IL"/>
        </w:rPr>
        <w:footnoteReference w:id="3"/>
      </w:r>
      <w:r w:rsidRPr="00284352">
        <w:rPr>
          <w:rFonts w:ascii="Times New Roman" w:eastAsia="Times New Roman" w:hAnsi="Times New Roman" w:cs="oprFrank" w:hint="cs"/>
          <w:noProof/>
          <w:sz w:val="26"/>
          <w:szCs w:val="27"/>
          <w:rtl/>
          <w:lang w:eastAsia="he-IL"/>
        </w:rPr>
        <w:t>. להלכה, לרוב הדעות, אי-אפשר לקנות מן ההפקר ללא פעולת קנין רגילה (כגון הגבהה).</w:t>
      </w:r>
    </w:p>
    <w:p w:rsidR="005F4A47" w:rsidRDefault="007E0CCD">
      <w:bookmarkStart w:id="2" w:name="_GoBack"/>
      <w:bookmarkEnd w:id="2"/>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0CCD" w:rsidRDefault="007E0CCD" w:rsidP="00284352">
      <w:pPr>
        <w:spacing w:after="0" w:line="240" w:lineRule="auto"/>
      </w:pPr>
      <w:r>
        <w:separator/>
      </w:r>
    </w:p>
  </w:endnote>
  <w:endnote w:type="continuationSeparator" w:id="0">
    <w:p w:rsidR="007E0CCD" w:rsidRDefault="007E0CCD" w:rsidP="00284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W_Shalom">
    <w:charset w:val="B1"/>
    <w:family w:val="auto"/>
    <w:pitch w:val="variable"/>
    <w:sig w:usb0="00001801" w:usb1="00000000" w:usb2="00000000" w:usb3="00000000" w:csb0="00000020" w:csb1="00000000"/>
  </w:font>
  <w:font w:name="Guttman Vilna">
    <w:panose1 w:val="02010401010101010101"/>
    <w:charset w:val="B1"/>
    <w:family w:val="auto"/>
    <w:pitch w:val="variable"/>
    <w:sig w:usb0="00000801" w:usb1="40000000" w:usb2="00000000" w:usb3="00000000" w:csb0="00000020" w:csb1="00000000"/>
  </w:font>
  <w:font w:name="oprFrank">
    <w:altName w:val="Courier New"/>
    <w:charset w:val="00"/>
    <w:family w:val="auto"/>
    <w:pitch w:val="variable"/>
    <w:sig w:usb0="00000000"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0CCD" w:rsidRDefault="007E0CCD" w:rsidP="00284352">
      <w:pPr>
        <w:spacing w:after="0" w:line="240" w:lineRule="auto"/>
      </w:pPr>
      <w:r>
        <w:separator/>
      </w:r>
    </w:p>
  </w:footnote>
  <w:footnote w:type="continuationSeparator" w:id="0">
    <w:p w:rsidR="007E0CCD" w:rsidRDefault="007E0CCD" w:rsidP="00284352">
      <w:pPr>
        <w:spacing w:after="0" w:line="240" w:lineRule="auto"/>
      </w:pPr>
      <w:r>
        <w:continuationSeparator/>
      </w:r>
    </w:p>
  </w:footnote>
  <w:footnote w:id="1">
    <w:p w:rsidR="00284352" w:rsidRPr="007A71EB" w:rsidRDefault="00284352" w:rsidP="00284352">
      <w:pPr>
        <w:pStyle w:val="a3"/>
        <w:rPr>
          <w:rFonts w:hint="cs"/>
          <w:rtl/>
        </w:rPr>
      </w:pPr>
      <w:r w:rsidRPr="007A71EB">
        <w:rPr>
          <w:rtl/>
        </w:rPr>
        <w:tab/>
      </w:r>
      <w:r w:rsidRPr="007A71EB">
        <w:rPr>
          <w:rtl/>
        </w:rPr>
        <w:footnoteRef/>
      </w:r>
      <w:r w:rsidRPr="007A71EB">
        <w:rPr>
          <w:rtl/>
        </w:rPr>
        <w:t>.</w:t>
      </w:r>
      <w:r w:rsidRPr="007A71EB">
        <w:rPr>
          <w:rtl/>
        </w:rPr>
        <w:tab/>
      </w:r>
      <w:r w:rsidRPr="007A71EB">
        <w:rPr>
          <w:rFonts w:hint="cs"/>
          <w:rtl/>
        </w:rPr>
        <w:t xml:space="preserve">ראה במאמר "ממון המוטל בספק", </w:t>
      </w:r>
      <w:r>
        <w:rPr>
          <w:rFonts w:hint="cs"/>
          <w:rtl/>
        </w:rPr>
        <w:t xml:space="preserve">עמ' </w:t>
      </w:r>
      <w:r>
        <w:rPr>
          <w:rtl/>
        </w:rPr>
        <w:fldChar w:fldCharType="begin"/>
      </w:r>
      <w:r>
        <w:rPr>
          <w:rtl/>
        </w:rPr>
        <w:instrText xml:space="preserve"> </w:instrText>
      </w:r>
      <w:r>
        <w:rPr>
          <w:rFonts w:hint="cs"/>
        </w:rPr>
        <w:instrText>PAGEREF</w:instrText>
      </w:r>
      <w:r>
        <w:rPr>
          <w:rFonts w:hint="cs"/>
          <w:rtl/>
        </w:rPr>
        <w:instrText xml:space="preserve"> _</w:instrText>
      </w:r>
      <w:r>
        <w:rPr>
          <w:rFonts w:hint="cs"/>
        </w:rPr>
        <w:instrText>Ref254804068 \h</w:instrText>
      </w:r>
      <w:r>
        <w:rPr>
          <w:rtl/>
        </w:rPr>
        <w:instrText xml:space="preserve"> </w:instrText>
      </w:r>
      <w:r>
        <w:rPr>
          <w:rtl/>
        </w:rPr>
        <w:fldChar w:fldCharType="separate"/>
      </w:r>
      <w:proofErr w:type="spellStart"/>
      <w:r>
        <w:rPr>
          <w:rFonts w:hint="eastAsia"/>
          <w:rtl/>
        </w:rPr>
        <w:t>יז</w:t>
      </w:r>
      <w:proofErr w:type="spellEnd"/>
      <w:r>
        <w:rPr>
          <w:rtl/>
        </w:rPr>
        <w:fldChar w:fldCharType="end"/>
      </w:r>
      <w:r>
        <w:rPr>
          <w:rFonts w:hint="cs"/>
          <w:rtl/>
        </w:rPr>
        <w:t xml:space="preserve"> </w:t>
      </w:r>
      <w:r w:rsidRPr="007A71EB">
        <w:rPr>
          <w:rFonts w:hint="cs"/>
          <w:rtl/>
        </w:rPr>
        <w:t xml:space="preserve">הערה </w:t>
      </w:r>
      <w:r>
        <w:rPr>
          <w:rtl/>
        </w:rPr>
        <w:fldChar w:fldCharType="begin"/>
      </w:r>
      <w:r>
        <w:rPr>
          <w:rtl/>
        </w:rPr>
        <w:instrText xml:space="preserve"> </w:instrText>
      </w:r>
      <w:r>
        <w:rPr>
          <w:rFonts w:hint="cs"/>
        </w:rPr>
        <w:instrText>NOTEREF</w:instrText>
      </w:r>
      <w:r>
        <w:rPr>
          <w:rFonts w:hint="cs"/>
          <w:rtl/>
        </w:rPr>
        <w:instrText xml:space="preserve"> _</w:instrText>
      </w:r>
      <w:r>
        <w:rPr>
          <w:rFonts w:hint="cs"/>
        </w:rPr>
        <w:instrText>Ref85823237 \h</w:instrText>
      </w:r>
      <w:r>
        <w:rPr>
          <w:rtl/>
        </w:rPr>
        <w:instrText xml:space="preserve"> </w:instrText>
      </w:r>
      <w:r>
        <w:rPr>
          <w:rtl/>
        </w:rPr>
        <w:fldChar w:fldCharType="separate"/>
      </w:r>
      <w:r>
        <w:rPr>
          <w:rtl/>
        </w:rPr>
        <w:t>ז</w:t>
      </w:r>
      <w:r>
        <w:rPr>
          <w:rtl/>
        </w:rPr>
        <w:fldChar w:fldCharType="end"/>
      </w:r>
      <w:r w:rsidRPr="007A71EB">
        <w:rPr>
          <w:rFonts w:hint="cs"/>
          <w:rtl/>
        </w:rPr>
        <w:t>, שם הוסבר כי "אני מצאתיה" שייך לעולם מופשט יותר – הוא עולם הבריאה – מאשר "כולה שלי", ששייך לעולם היצירה.</w:t>
      </w:r>
    </w:p>
  </w:footnote>
  <w:footnote w:id="2">
    <w:p w:rsidR="00284352" w:rsidRPr="007A71EB" w:rsidRDefault="00284352" w:rsidP="00284352">
      <w:pPr>
        <w:pStyle w:val="a3"/>
        <w:rPr>
          <w:rFonts w:hint="cs"/>
          <w:rtl/>
        </w:rPr>
      </w:pPr>
      <w:r w:rsidRPr="007A71EB">
        <w:rPr>
          <w:rtl/>
        </w:rPr>
        <w:tab/>
      </w:r>
      <w:r w:rsidRPr="007A71EB">
        <w:rPr>
          <w:rtl/>
        </w:rPr>
        <w:footnoteRef/>
      </w:r>
      <w:r w:rsidRPr="007A71EB">
        <w:rPr>
          <w:rtl/>
        </w:rPr>
        <w:t>.</w:t>
      </w:r>
      <w:r w:rsidRPr="007A71EB">
        <w:rPr>
          <w:rtl/>
        </w:rPr>
        <w:tab/>
      </w:r>
      <w:r w:rsidRPr="007A71EB">
        <w:rPr>
          <w:rFonts w:hint="cs"/>
          <w:rtl/>
        </w:rPr>
        <w:t xml:space="preserve">ד"ה </w:t>
      </w:r>
      <w:proofErr w:type="spellStart"/>
      <w:r w:rsidRPr="007A71EB">
        <w:rPr>
          <w:rFonts w:hint="cs"/>
          <w:rtl/>
        </w:rPr>
        <w:t>דבראיה</w:t>
      </w:r>
      <w:proofErr w:type="spellEnd"/>
      <w:r w:rsidRPr="007A71EB">
        <w:rPr>
          <w:rFonts w:hint="cs"/>
          <w:rtl/>
        </w:rPr>
        <w:t xml:space="preserve"> בעלמא.</w:t>
      </w:r>
    </w:p>
  </w:footnote>
  <w:footnote w:id="3">
    <w:p w:rsidR="00284352" w:rsidRPr="007A71EB" w:rsidRDefault="00284352" w:rsidP="00284352">
      <w:pPr>
        <w:pStyle w:val="a3"/>
        <w:rPr>
          <w:rFonts w:hint="cs"/>
          <w:rtl/>
        </w:rPr>
      </w:pPr>
      <w:r w:rsidRPr="007A71EB">
        <w:rPr>
          <w:rtl/>
        </w:rPr>
        <w:tab/>
      </w:r>
      <w:r w:rsidRPr="007A71EB">
        <w:rPr>
          <w:rtl/>
        </w:rPr>
        <w:footnoteRef/>
      </w:r>
      <w:r w:rsidRPr="007A71EB">
        <w:rPr>
          <w:rtl/>
        </w:rPr>
        <w:t>.</w:t>
      </w:r>
      <w:r w:rsidRPr="007A71EB">
        <w:rPr>
          <w:rtl/>
        </w:rPr>
        <w:tab/>
      </w:r>
      <w:r w:rsidRPr="007A71EB">
        <w:rPr>
          <w:rFonts w:hint="cs"/>
          <w:sz w:val="21"/>
          <w:rtl/>
        </w:rPr>
        <w:t>רמב"ן:</w:t>
      </w:r>
      <w:r w:rsidRPr="007A71EB">
        <w:rPr>
          <w:rFonts w:hint="cs"/>
          <w:rtl/>
        </w:rPr>
        <w:t xml:space="preserve"> </w:t>
      </w:r>
      <w:proofErr w:type="spellStart"/>
      <w:r w:rsidRPr="00E1366E">
        <w:rPr>
          <w:b/>
          <w:bCs/>
          <w:sz w:val="24"/>
          <w:szCs w:val="24"/>
          <w:rtl/>
        </w:rPr>
        <w:t>דהתם</w:t>
      </w:r>
      <w:proofErr w:type="spellEnd"/>
      <w:r w:rsidRPr="00E1366E">
        <w:rPr>
          <w:b/>
          <w:bCs/>
          <w:sz w:val="24"/>
          <w:szCs w:val="24"/>
          <w:rtl/>
        </w:rPr>
        <w:t xml:space="preserve"> הבטה של שומר</w:t>
      </w:r>
      <w:r w:rsidRPr="00E1366E">
        <w:rPr>
          <w:rFonts w:hint="cs"/>
          <w:b/>
          <w:bCs/>
          <w:sz w:val="24"/>
          <w:szCs w:val="24"/>
          <w:rtl/>
        </w:rPr>
        <w:t>,</w:t>
      </w:r>
      <w:r w:rsidRPr="00E1366E">
        <w:rPr>
          <w:b/>
          <w:bCs/>
          <w:sz w:val="24"/>
          <w:szCs w:val="24"/>
          <w:rtl/>
        </w:rPr>
        <w:t xml:space="preserve"> כגון שומר שדה של הפקר</w:t>
      </w:r>
      <w:r w:rsidRPr="00E1366E">
        <w:rPr>
          <w:rFonts w:hint="cs"/>
          <w:b/>
          <w:bCs/>
          <w:sz w:val="24"/>
          <w:szCs w:val="24"/>
          <w:rtl/>
        </w:rPr>
        <w:t>,</w:t>
      </w:r>
      <w:r w:rsidRPr="00E1366E">
        <w:rPr>
          <w:b/>
          <w:bCs/>
          <w:sz w:val="24"/>
          <w:szCs w:val="24"/>
          <w:rtl/>
        </w:rPr>
        <w:t xml:space="preserve"> או תבן וקש</w:t>
      </w:r>
      <w:r w:rsidRPr="00E1366E">
        <w:rPr>
          <w:rFonts w:hint="cs"/>
          <w:b/>
          <w:bCs/>
          <w:sz w:val="24"/>
          <w:szCs w:val="24"/>
          <w:rtl/>
        </w:rPr>
        <w:t>,</w:t>
      </w:r>
      <w:r w:rsidRPr="00E1366E">
        <w:rPr>
          <w:b/>
          <w:bCs/>
          <w:sz w:val="24"/>
          <w:szCs w:val="24"/>
          <w:rtl/>
        </w:rPr>
        <w:t xml:space="preserve"> והואיל ודבר</w:t>
      </w:r>
      <w:r w:rsidRPr="00E1366E">
        <w:rPr>
          <w:rFonts w:hint="cs"/>
          <w:b/>
          <w:bCs/>
          <w:sz w:val="24"/>
          <w:szCs w:val="24"/>
          <w:rtl/>
        </w:rPr>
        <w:t xml:space="preserve"> ט</w:t>
      </w:r>
      <w:r w:rsidRPr="00E1366E">
        <w:rPr>
          <w:b/>
          <w:bCs/>
          <w:sz w:val="24"/>
          <w:szCs w:val="24"/>
          <w:rtl/>
        </w:rPr>
        <w:t>ורח</w:t>
      </w:r>
      <w:r w:rsidRPr="00E1366E">
        <w:rPr>
          <w:rFonts w:hint="cs"/>
          <w:b/>
          <w:bCs/>
          <w:sz w:val="24"/>
          <w:szCs w:val="24"/>
          <w:rtl/>
        </w:rPr>
        <w:t xml:space="preserve"> ה</w:t>
      </w:r>
      <w:r w:rsidRPr="00E1366E">
        <w:rPr>
          <w:b/>
          <w:bCs/>
          <w:sz w:val="24"/>
          <w:szCs w:val="24"/>
          <w:rtl/>
        </w:rPr>
        <w:t xml:space="preserve">וא ועל ידו נשמר </w:t>
      </w:r>
      <w:r w:rsidRPr="00E1366E">
        <w:rPr>
          <w:rFonts w:hint="cs"/>
          <w:b/>
          <w:bCs/>
          <w:sz w:val="24"/>
          <w:szCs w:val="24"/>
          <w:rtl/>
        </w:rPr>
        <w:t xml:space="preserve">– </w:t>
      </w:r>
      <w:r w:rsidRPr="00E1366E">
        <w:rPr>
          <w:b/>
          <w:bCs/>
          <w:sz w:val="24"/>
          <w:szCs w:val="24"/>
          <w:rtl/>
        </w:rPr>
        <w:t>קני</w:t>
      </w:r>
      <w:r w:rsidRPr="00E1366E">
        <w:rPr>
          <w:rFonts w:hint="cs"/>
          <w:b/>
          <w:bCs/>
          <w:sz w:val="24"/>
          <w:szCs w:val="24"/>
          <w:rtl/>
        </w:rPr>
        <w:t>;</w:t>
      </w:r>
      <w:r w:rsidRPr="00E1366E">
        <w:rPr>
          <w:b/>
          <w:bCs/>
          <w:sz w:val="24"/>
          <w:szCs w:val="24"/>
          <w:rtl/>
        </w:rPr>
        <w:t xml:space="preserve"> אבל ראיה בעלמא לא</w:t>
      </w:r>
      <w:r w:rsidRPr="007A71EB">
        <w:rPr>
          <w:rFonts w:hint="cs"/>
          <w:rtl/>
        </w:rPr>
        <w:t>.</w:t>
      </w:r>
      <w:r w:rsidRPr="007A71EB">
        <w:rPr>
          <w:rtl/>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4E2"/>
    <w:rsid w:val="00061E65"/>
    <w:rsid w:val="00284352"/>
    <w:rsid w:val="005C54E2"/>
    <w:rsid w:val="007E0CCD"/>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284352"/>
    <w:pPr>
      <w:spacing w:after="0" w:line="240" w:lineRule="auto"/>
    </w:pPr>
    <w:rPr>
      <w:sz w:val="20"/>
      <w:szCs w:val="20"/>
    </w:rPr>
  </w:style>
  <w:style w:type="character" w:customStyle="1" w:styleId="a4">
    <w:name w:val="טקסט הערת שוליים תו"/>
    <w:basedOn w:val="a0"/>
    <w:link w:val="a3"/>
    <w:uiPriority w:val="99"/>
    <w:semiHidden/>
    <w:rsid w:val="00284352"/>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284352"/>
    <w:pPr>
      <w:spacing w:after="0" w:line="240" w:lineRule="auto"/>
    </w:pPr>
    <w:rPr>
      <w:sz w:val="20"/>
      <w:szCs w:val="20"/>
    </w:rPr>
  </w:style>
  <w:style w:type="character" w:customStyle="1" w:styleId="a4">
    <w:name w:val="טקסט הערת שוליים תו"/>
    <w:basedOn w:val="a0"/>
    <w:link w:val="a3"/>
    <w:uiPriority w:val="99"/>
    <w:semiHidden/>
    <w:rsid w:val="0028435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936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2017-07-12T10:59:00Z</dcterms:created>
  <dcterms:modified xsi:type="dcterms:W3CDTF">2017-07-12T10:59:00Z</dcterms:modified>
</cp:coreProperties>
</file>