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E4" w:rsidRPr="005A13E4" w:rsidRDefault="005A13E4" w:rsidP="005A13E4">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0" w:name="_Toc254800207"/>
      <w:bookmarkStart w:id="1" w:name="_Ref254801963"/>
      <w:bookmarkStart w:id="2" w:name="_Toc254802115"/>
      <w:r w:rsidRPr="005A13E4">
        <w:rPr>
          <w:rFonts w:ascii="Times New Roman" w:eastAsia="Times New Roman" w:hAnsi="Times New Roman" w:cs="Guttman Vilna" w:hint="cs"/>
          <w:bCs/>
          <w:noProof/>
          <w:szCs w:val="30"/>
          <w:rtl/>
          <w:lang w:eastAsia="he-IL"/>
        </w:rPr>
        <w:t>"ומצאתה" – שבאה לידו משמע</w:t>
      </w:r>
      <w:bookmarkEnd w:id="0"/>
      <w:bookmarkEnd w:id="1"/>
      <w:bookmarkEnd w:id="2"/>
    </w:p>
    <w:p w:rsidR="005A13E4" w:rsidRPr="005A13E4" w:rsidRDefault="005A13E4" w:rsidP="005A13E4">
      <w:pPr>
        <w:spacing w:before="60" w:after="60" w:line="350" w:lineRule="exact"/>
        <w:jc w:val="both"/>
        <w:rPr>
          <w:rFonts w:ascii="Times New Roman" w:eastAsia="Times New Roman" w:hAnsi="Times New Roman" w:cs="oprFrank" w:hint="cs"/>
          <w:noProof/>
          <w:sz w:val="26"/>
          <w:szCs w:val="27"/>
          <w:rtl/>
          <w:lang w:eastAsia="he-IL"/>
        </w:rPr>
      </w:pPr>
      <w:r w:rsidRPr="005A13E4">
        <w:rPr>
          <w:rFonts w:ascii="Times New Roman" w:eastAsia="Times New Roman" w:hAnsi="Times New Roman" w:cs="oprFrank" w:hint="cs"/>
          <w:noProof/>
          <w:sz w:val="26"/>
          <w:szCs w:val="27"/>
          <w:rtl/>
          <w:lang w:eastAsia="he-IL"/>
        </w:rPr>
        <w:t>הפעילות והממשות שבכח הראיה תובלטנה אם נתבונן בכתוב אותו מזכירה הגמרא כאשר דורשת שראיה אינה קונה. הכתוב הוא לענין השבת אבדה, וראשית כל ניתן להסיק ממנו שאם כי ראיה אינה קונה מן ההפקר, אבל ראיה יוצרת חיוב השבה. היות שראיתי, נעשה הדבר 'שלי' לענין זה שמוטל הוא עלי לטפל בו ולעסוק בהשבתו. אמנם בספרי, על רקע ההקבלה לכתוב המקביל בספר שמות</w:t>
      </w:r>
      <w:r w:rsidRPr="005A13E4">
        <w:rPr>
          <w:rFonts w:ascii="Times New Roman" w:eastAsia="Times New Roman" w:hAnsi="Times New Roman" w:cs="oprFrank"/>
          <w:noProof/>
          <w:position w:val="-5"/>
          <w:szCs w:val="27"/>
          <w:vertAlign w:val="superscript"/>
          <w:rtl/>
          <w:lang w:eastAsia="he-IL"/>
        </w:rPr>
        <w:footnoteReference w:id="1"/>
      </w:r>
      <w:r w:rsidRPr="005A13E4">
        <w:rPr>
          <w:rFonts w:ascii="Times New Roman" w:eastAsia="Times New Roman" w:hAnsi="Times New Roman" w:cs="oprFrank" w:hint="cs"/>
          <w:noProof/>
          <w:sz w:val="26"/>
          <w:szCs w:val="27"/>
          <w:rtl/>
          <w:lang w:eastAsia="he-IL"/>
        </w:rPr>
        <w:t>, בו נאמר "כי תפגע", מסיק שצריך ראיה בקרבה מסוימת, וראית החפץ מרחוק עדיין אינה מחייבת להתייחס אליו</w:t>
      </w:r>
      <w:r w:rsidRPr="005A13E4">
        <w:rPr>
          <w:rFonts w:ascii="Times New Roman" w:eastAsia="Times New Roman" w:hAnsi="Times New Roman" w:cs="oprFrank"/>
          <w:noProof/>
          <w:position w:val="-5"/>
          <w:szCs w:val="27"/>
          <w:vertAlign w:val="superscript"/>
          <w:rtl/>
          <w:lang w:eastAsia="he-IL"/>
        </w:rPr>
        <w:footnoteReference w:id="2"/>
      </w:r>
      <w:r w:rsidRPr="005A13E4">
        <w:rPr>
          <w:rFonts w:ascii="Times New Roman" w:eastAsia="Times New Roman" w:hAnsi="Times New Roman" w:cs="oprFrank" w:hint="cs"/>
          <w:noProof/>
          <w:sz w:val="26"/>
          <w:szCs w:val="27"/>
          <w:rtl/>
          <w:lang w:eastAsia="he-IL"/>
        </w:rPr>
        <w:t>. אם כן יוצא שהראיה המחייבת היא בחינת "פגיעה", בחינת פגישה עם הדבר, כפי שהוסבר לעיל על ההסתכלות של בת היענה</w:t>
      </w:r>
      <w:r w:rsidRPr="005A13E4">
        <w:rPr>
          <w:rFonts w:ascii="Times New Roman" w:eastAsia="Times New Roman" w:hAnsi="Times New Roman" w:cs="oprFrank"/>
          <w:noProof/>
          <w:position w:val="-5"/>
          <w:szCs w:val="27"/>
          <w:vertAlign w:val="superscript"/>
          <w:rtl/>
          <w:lang w:eastAsia="he-IL"/>
        </w:rPr>
        <w:footnoteReference w:id="3"/>
      </w:r>
      <w:r w:rsidRPr="005A13E4">
        <w:rPr>
          <w:rFonts w:ascii="Times New Roman" w:eastAsia="Times New Roman" w:hAnsi="Times New Roman" w:cs="oprFrank" w:hint="cs"/>
          <w:noProof/>
          <w:sz w:val="26"/>
          <w:szCs w:val="27"/>
          <w:rtl/>
          <w:lang w:eastAsia="he-IL"/>
        </w:rPr>
        <w:t>.</w:t>
      </w:r>
    </w:p>
    <w:p w:rsidR="005A13E4" w:rsidRPr="005A13E4" w:rsidRDefault="005A13E4" w:rsidP="005A13E4">
      <w:pPr>
        <w:spacing w:before="60" w:after="60" w:line="350" w:lineRule="exact"/>
        <w:jc w:val="both"/>
        <w:rPr>
          <w:rFonts w:ascii="Times New Roman" w:eastAsia="Times New Roman" w:hAnsi="Times New Roman" w:cs="oprFrank" w:hint="cs"/>
          <w:noProof/>
          <w:sz w:val="26"/>
          <w:szCs w:val="27"/>
          <w:rtl/>
          <w:lang w:eastAsia="he-IL"/>
        </w:rPr>
      </w:pPr>
      <w:r w:rsidRPr="005A13E4">
        <w:rPr>
          <w:rFonts w:ascii="Times New Roman" w:eastAsia="Times New Roman" w:hAnsi="Times New Roman" w:cs="oprFrank" w:hint="cs"/>
          <w:noProof/>
          <w:sz w:val="26"/>
          <w:szCs w:val="27"/>
          <w:rtl/>
          <w:lang w:eastAsia="he-IL"/>
        </w:rPr>
        <w:t>יתרה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מזאת,</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רק</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שראיה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מועילה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לחייב,</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פשט</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הכתוב</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לכאורה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מטה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יותר</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לפרש</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כפירוש</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הגמרא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"'ומצאתה'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דאתאי</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לידיה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[שבאה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לידו]</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משמע"</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אלא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להפך:</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תראה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שור</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אחיך</w:t>
      </w:r>
      <w:r w:rsidRPr="005A13E4">
        <w:rPr>
          <w:rFonts w:ascii="Times New Roman" w:eastAsia="Times New Roman" w:hAnsi="Times New Roman" w:cs="oprFrank" w:hint="eastAsia"/>
          <w:noProof/>
          <w:sz w:val="26"/>
          <w:szCs w:val="27"/>
          <w:rtl/>
          <w:lang w:eastAsia="he-IL"/>
        </w:rPr>
        <w:t>…</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והתעלמת…</w:t>
      </w:r>
      <w:r w:rsidRPr="005A13E4">
        <w:rPr>
          <w:rFonts w:ascii="Times New Roman" w:eastAsia="Times New Roman" w:hAnsi="Times New Roman" w:cs="oprFrank" w:hint="eastAsia"/>
          <w:noProof/>
          <w:spacing w:val="-12"/>
          <w:sz w:val="26"/>
          <w:szCs w:val="27"/>
          <w:rtl/>
          <w:lang w:eastAsia="he-IL"/>
        </w:rPr>
        <w:t xml:space="preserve"> </w:t>
      </w:r>
      <w:r w:rsidRPr="005A13E4">
        <w:rPr>
          <w:rFonts w:ascii="Times New Roman" w:eastAsia="Times New Roman" w:hAnsi="Times New Roman" w:cs="oprFrank" w:hint="eastAsia"/>
          <w:noProof/>
          <w:sz w:val="26"/>
          <w:szCs w:val="27"/>
          <w:rtl/>
          <w:lang w:eastAsia="he-IL"/>
        </w:rPr>
        <w:t>לא</w:t>
      </w:r>
      <w:r w:rsidRPr="005A13E4">
        <w:rPr>
          <w:rFonts w:ascii="Times New Roman" w:eastAsia="Times New Roman" w:hAnsi="Times New Roman" w:cs="oprFrank" w:hint="eastAsia"/>
          <w:noProof/>
          <w:spacing w:val="-12"/>
          <w:sz w:val="26"/>
          <w:szCs w:val="27"/>
          <w:rtl/>
          <w:lang w:eastAsia="he-IL"/>
        </w:rPr>
        <w:t xml:space="preserve"> </w:t>
      </w:r>
      <w:r w:rsidRPr="005A13E4">
        <w:rPr>
          <w:rFonts w:ascii="Times New Roman" w:eastAsia="Times New Roman" w:hAnsi="Times New Roman" w:cs="oprFrank" w:hint="eastAsia"/>
          <w:noProof/>
          <w:sz w:val="26"/>
          <w:szCs w:val="27"/>
          <w:rtl/>
          <w:lang w:eastAsia="he-IL"/>
        </w:rPr>
        <w:t>תוכל</w:t>
      </w:r>
      <w:r w:rsidRPr="005A13E4">
        <w:rPr>
          <w:rFonts w:ascii="Times New Roman" w:eastAsia="Times New Roman" w:hAnsi="Times New Roman" w:cs="oprFrank" w:hint="eastAsia"/>
          <w:noProof/>
          <w:spacing w:val="-12"/>
          <w:sz w:val="26"/>
          <w:szCs w:val="27"/>
          <w:rtl/>
          <w:lang w:eastAsia="he-IL"/>
        </w:rPr>
        <w:t xml:space="preserve"> </w:t>
      </w:r>
      <w:r w:rsidRPr="005A13E4">
        <w:rPr>
          <w:rFonts w:ascii="Times New Roman" w:eastAsia="Times New Roman" w:hAnsi="Times New Roman" w:cs="oprFrank" w:hint="eastAsia"/>
          <w:noProof/>
          <w:sz w:val="26"/>
          <w:szCs w:val="27"/>
          <w:rtl/>
          <w:lang w:eastAsia="he-IL"/>
        </w:rPr>
        <w:t>להתעלם</w:t>
      </w:r>
      <w:r w:rsidRPr="005A13E4">
        <w:rPr>
          <w:rFonts w:ascii="Times New Roman" w:eastAsia="Times New Roman" w:hAnsi="Times New Roman" w:cs="oprFrank" w:hint="cs"/>
          <w:noProof/>
          <w:sz w:val="26"/>
          <w:szCs w:val="27"/>
          <w:rtl/>
          <w:lang w:eastAsia="he-IL"/>
        </w:rPr>
        <w:t>…</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וכן</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תעשה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לכל</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אבדת</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אחיך</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אשר</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תאבד</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ממנו</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ומצאתה".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משמע</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כאן</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שהכתוב</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כולו</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עוסק</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בחיוב</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ההשבה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ולא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בזכויות</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המוצא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(הנוהגות</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בעיר</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שרובה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נכרים,</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כמקרה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של</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משנתנו),</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ולשון</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מציאה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מקבילה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אצלו</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ללשון</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ראיה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שבתחילה.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גם</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המימרא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שמביאה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הגמרא,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במקורה</w:t>
      </w:r>
      <w:r w:rsidRPr="005A13E4">
        <w:rPr>
          <w:rFonts w:ascii="Times New Roman" w:eastAsia="Times New Roman" w:hAnsi="Times New Roman" w:cs="oprFrank"/>
          <w:noProof/>
          <w:position w:val="-5"/>
          <w:szCs w:val="27"/>
          <w:vertAlign w:val="superscript"/>
          <w:rtl/>
          <w:lang w:eastAsia="he-IL"/>
        </w:rPr>
        <w:footnoteReference w:id="4"/>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מתפרשת</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כי</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MiriamMFO" w:hint="cs"/>
          <w:noProof/>
          <w:rtl/>
          <w:lang w:eastAsia="he-IL"/>
        </w:rPr>
        <w:t>אף</w:t>
      </w:r>
      <w:r w:rsidRPr="005A13E4">
        <w:rPr>
          <w:rFonts w:ascii="Times New Roman" w:eastAsia="Times New Roman" w:hAnsi="Times New Roman" w:cs="MiriamMFO" w:hint="cs"/>
          <w:noProof/>
          <w:spacing w:val="-12"/>
          <w:rtl/>
          <w:lang w:eastAsia="he-IL"/>
        </w:rPr>
        <w:t xml:space="preserve"> </w:t>
      </w:r>
      <w:r w:rsidRPr="005A13E4">
        <w:rPr>
          <w:rFonts w:ascii="Times New Roman" w:eastAsia="Times New Roman" w:hAnsi="Times New Roman" w:cs="oprFrank" w:hint="cs"/>
          <w:noProof/>
          <w:sz w:val="26"/>
          <w:szCs w:val="27"/>
          <w:rtl/>
          <w:lang w:eastAsia="he-IL"/>
        </w:rPr>
        <w:t>במקרה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שבאה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המציאה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לידך</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lastRenderedPageBreak/>
        <w:t>ממש</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מצווה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אתה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להחזיר</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דוקא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לאחיך</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ולא</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לנכרי,</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לפי</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שהמלה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מציאה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כוללת</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MiriamMFO" w:hint="cs"/>
          <w:noProof/>
          <w:rtl/>
          <w:lang w:eastAsia="he-IL"/>
        </w:rPr>
        <w:t>גם</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מציאה</w:t>
      </w:r>
      <w:r w:rsidRPr="005A13E4">
        <w:rPr>
          <w:rFonts w:ascii="Times New Roman" w:eastAsia="Times New Roman" w:hAnsi="Times New Roman" w:cs="oprFrank" w:hint="cs"/>
          <w:noProof/>
          <w:spacing w:val="-12"/>
          <w:sz w:val="26"/>
          <w:szCs w:val="27"/>
          <w:rtl/>
          <w:lang w:eastAsia="he-IL"/>
        </w:rPr>
        <w:t xml:space="preserve"> </w:t>
      </w:r>
      <w:r w:rsidRPr="005A13E4">
        <w:rPr>
          <w:rFonts w:ascii="Times New Roman" w:eastAsia="Times New Roman" w:hAnsi="Times New Roman" w:cs="oprFrank" w:hint="cs"/>
          <w:noProof/>
          <w:sz w:val="26"/>
          <w:szCs w:val="27"/>
          <w:rtl/>
          <w:lang w:eastAsia="he-IL"/>
        </w:rPr>
        <w:t>פיזית.</w:t>
      </w:r>
    </w:p>
    <w:p w:rsidR="005A13E4" w:rsidRPr="005A13E4" w:rsidRDefault="005A13E4" w:rsidP="005A13E4">
      <w:pPr>
        <w:spacing w:before="60" w:after="60" w:line="350" w:lineRule="exact"/>
        <w:jc w:val="both"/>
        <w:rPr>
          <w:rFonts w:ascii="Times New Roman" w:eastAsia="Times New Roman" w:hAnsi="Times New Roman" w:cs="oprFrank" w:hint="cs"/>
          <w:noProof/>
          <w:sz w:val="26"/>
          <w:szCs w:val="27"/>
          <w:rtl/>
          <w:lang w:eastAsia="he-IL"/>
        </w:rPr>
      </w:pPr>
      <w:r w:rsidRPr="005A13E4">
        <w:rPr>
          <w:rFonts w:ascii="Times New Roman" w:eastAsia="Times New Roman" w:hAnsi="Times New Roman" w:cs="oprFrank" w:hint="cs"/>
          <w:noProof/>
          <w:sz w:val="26"/>
          <w:szCs w:val="27"/>
          <w:rtl/>
          <w:lang w:eastAsia="he-IL"/>
        </w:rPr>
        <w:t xml:space="preserve">לכן מסביר המלבי"ם שאין הדיוק כי ראיה אינה קונה מעצם הלשון "מצא", ואין שרש זה מתפרש דוקא באופן של מגע פיזי, אלא מהצורה הדקדוקית המיוחדת הכתובה כאן במקום "ותמצא", עיין בדבריו. </w:t>
      </w:r>
    </w:p>
    <w:p w:rsidR="005A13E4" w:rsidRPr="005A13E4" w:rsidRDefault="005A13E4" w:rsidP="005A13E4">
      <w:pPr>
        <w:spacing w:before="60" w:after="60" w:line="350" w:lineRule="exact"/>
        <w:jc w:val="both"/>
        <w:rPr>
          <w:rFonts w:ascii="Times New Roman" w:eastAsia="Times New Roman" w:hAnsi="Times New Roman" w:cs="oprFrank" w:hint="cs"/>
          <w:noProof/>
          <w:sz w:val="26"/>
          <w:szCs w:val="27"/>
          <w:rtl/>
          <w:lang w:eastAsia="he-IL"/>
        </w:rPr>
      </w:pPr>
      <w:r w:rsidRPr="005A13E4">
        <w:rPr>
          <w:rFonts w:ascii="Times New Roman" w:eastAsia="Times New Roman" w:hAnsi="Times New Roman" w:cs="oprFrank" w:hint="cs"/>
          <w:noProof/>
          <w:sz w:val="26"/>
          <w:szCs w:val="27"/>
          <w:rtl/>
          <w:lang w:eastAsia="he-IL"/>
        </w:rPr>
        <w:t>מכל זה עולה שראיה אכן עשויה ליצור מציאות חדשה, ובמקרה של שעבוד למצוה אכן יוצרת, אלא שניכר כי בעולם הזה אי אפשר לערב באופן ישיר כל כך התיחסות מופשטת כל כך. התיחסות רצינית ומשמעותית של האדם היא רק התיחסות שהופנמה אצלו, שעברה מתחום השכל אל המעורבות האישית, עד שקיבלה ביטוי במעשה (וכן אפשר לומר: האדם מתיחס ברצינות, ומפנים, רק כאשר מבין שרצונותיו קבעו אחיזה בעולם האובייקטיבי שמחוץ לו)</w:t>
      </w:r>
      <w:r w:rsidRPr="005A13E4">
        <w:rPr>
          <w:rFonts w:ascii="Times New Roman" w:eastAsia="Times New Roman" w:hAnsi="Times New Roman" w:cs="oprFrank"/>
          <w:noProof/>
          <w:position w:val="-5"/>
          <w:szCs w:val="27"/>
          <w:vertAlign w:val="superscript"/>
          <w:rtl/>
          <w:lang w:eastAsia="he-IL"/>
        </w:rPr>
        <w:footnoteReference w:id="5"/>
      </w:r>
      <w:r w:rsidRPr="005A13E4">
        <w:rPr>
          <w:rFonts w:ascii="Times New Roman" w:eastAsia="Times New Roman" w:hAnsi="Times New Roman" w:cs="oprFrank" w:hint="cs"/>
          <w:noProof/>
          <w:sz w:val="26"/>
          <w:szCs w:val="27"/>
          <w:rtl/>
          <w:lang w:eastAsia="he-IL"/>
        </w:rPr>
        <w:t>.</w:t>
      </w:r>
    </w:p>
    <w:p w:rsidR="005A13E4" w:rsidRPr="005A13E4" w:rsidRDefault="005A13E4" w:rsidP="005A13E4">
      <w:pPr>
        <w:widowControl w:val="0"/>
        <w:spacing w:before="60" w:after="60" w:line="350" w:lineRule="exact"/>
        <w:jc w:val="both"/>
        <w:rPr>
          <w:rFonts w:ascii="Times New Roman" w:eastAsia="Times New Roman" w:hAnsi="Times New Roman" w:cs="oprFrank" w:hint="cs"/>
          <w:noProof/>
          <w:sz w:val="26"/>
          <w:szCs w:val="27"/>
          <w:rtl/>
          <w:lang w:eastAsia="he-IL"/>
        </w:rPr>
      </w:pPr>
      <w:r w:rsidRPr="005A13E4">
        <w:rPr>
          <w:rFonts w:ascii="Times New Roman" w:eastAsia="Times New Roman" w:hAnsi="Times New Roman" w:cs="oprFrank" w:hint="cs"/>
          <w:noProof/>
          <w:sz w:val="26"/>
          <w:szCs w:val="27"/>
          <w:rtl/>
          <w:lang w:eastAsia="he-IL"/>
        </w:rPr>
        <w:t>במושגים פנימיים – כפי שעולה מדבריו של הרבי על תחילת המסכת</w:t>
      </w:r>
      <w:r w:rsidRPr="005A13E4">
        <w:rPr>
          <w:rFonts w:ascii="Times New Roman" w:eastAsia="Times New Roman" w:hAnsi="Times New Roman" w:cs="oprFrank"/>
          <w:noProof/>
          <w:position w:val="-5"/>
          <w:szCs w:val="27"/>
          <w:vertAlign w:val="superscript"/>
          <w:rtl/>
          <w:lang w:eastAsia="he-IL"/>
        </w:rPr>
        <w:footnoteReference w:id="6"/>
      </w:r>
      <w:r w:rsidRPr="005A13E4">
        <w:rPr>
          <w:rFonts w:ascii="Times New Roman" w:eastAsia="Times New Roman" w:hAnsi="Times New Roman" w:cs="oprFrank" w:hint="cs"/>
          <w:noProof/>
          <w:sz w:val="26"/>
          <w:szCs w:val="27"/>
          <w:rtl/>
          <w:lang w:eastAsia="he-IL"/>
        </w:rPr>
        <w:t xml:space="preserve"> – נצרך שיהיה מעבר מן המקיף אל הפנימי. בנפש, </w:t>
      </w:r>
      <w:r w:rsidRPr="005A13E4">
        <w:rPr>
          <w:rFonts w:ascii="Times New Roman" w:eastAsia="Times New Roman" w:hAnsi="Times New Roman" w:cs="oprFrank" w:hint="cs"/>
          <w:noProof/>
          <w:sz w:val="26"/>
          <w:szCs w:val="27"/>
          <w:rtl/>
          <w:lang w:eastAsia="he-IL"/>
        </w:rPr>
        <w:lastRenderedPageBreak/>
        <w:t>להשאר ב'מקיף' פירושו שיתכן אפילו כי אדם החליט לחזור בתשובה ולבחור בטוב, והתמרמר ובכה על חטאיו, ובכל זאת אין בזה ערובה כי קרה אצלו שינוי, שהרי אפשר ואפשר כי כאשר תבוא הזדמנות נוספת לחטוא באותו חטא כל ההחלטות תתפוגגנה, ויתברר אז כי המאיסה בחטא נותרה רק בתור ציור שכלי. רק המעשה השונה, רק ההתנהגות בפועל בניגוד למה שמצווים ההרגלים ואסוציאציות התענוג (או הפחד) הנקשרות בהן, משקפים שינוי של ממש, ומעידים כי השינוי חדר פנימה (וכשם שמגלים כך גם משפיעים חזרה פנימה, כדלעיל ש"אחרי הפעולות נמשכים הלבבות").</w:t>
      </w:r>
    </w:p>
    <w:p w:rsidR="005F4A47" w:rsidRDefault="008D323A">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23A" w:rsidRDefault="008D323A" w:rsidP="005A13E4">
      <w:pPr>
        <w:spacing w:after="0" w:line="240" w:lineRule="auto"/>
      </w:pPr>
      <w:r>
        <w:separator/>
      </w:r>
    </w:p>
  </w:endnote>
  <w:endnote w:type="continuationSeparator" w:id="0">
    <w:p w:rsidR="008D323A" w:rsidRDefault="008D323A" w:rsidP="005A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23A" w:rsidRDefault="008D323A" w:rsidP="005A13E4">
      <w:pPr>
        <w:spacing w:after="0" w:line="240" w:lineRule="auto"/>
      </w:pPr>
      <w:r>
        <w:separator/>
      </w:r>
    </w:p>
  </w:footnote>
  <w:footnote w:type="continuationSeparator" w:id="0">
    <w:p w:rsidR="008D323A" w:rsidRDefault="008D323A" w:rsidP="005A13E4">
      <w:pPr>
        <w:spacing w:after="0" w:line="240" w:lineRule="auto"/>
      </w:pPr>
      <w:r>
        <w:continuationSeparator/>
      </w:r>
    </w:p>
  </w:footnote>
  <w:footnote w:id="1">
    <w:p w:rsidR="005A13E4" w:rsidRPr="007A71EB" w:rsidRDefault="005A13E4" w:rsidP="005A13E4">
      <w:pPr>
        <w:pStyle w:val="a3"/>
        <w:rPr>
          <w:rFonts w:hint="cs"/>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 xml:space="preserve">בספר שמות יש יותר אווירה של "דינים". שור </w:t>
      </w:r>
      <w:proofErr w:type="spellStart"/>
      <w:r w:rsidRPr="007A71EB">
        <w:rPr>
          <w:rFonts w:hint="cs"/>
          <w:rtl/>
        </w:rPr>
        <w:t>אֹיִבך</w:t>
      </w:r>
      <w:proofErr w:type="spellEnd"/>
      <w:r w:rsidRPr="007A71EB">
        <w:rPr>
          <w:rFonts w:hint="cs"/>
          <w:rtl/>
        </w:rPr>
        <w:t xml:space="preserve"> שם (</w:t>
      </w:r>
      <w:proofErr w:type="spellStart"/>
      <w:r w:rsidRPr="007A71EB">
        <w:rPr>
          <w:rFonts w:hint="cs"/>
          <w:rtl/>
        </w:rPr>
        <w:t>כג</w:t>
      </w:r>
      <w:proofErr w:type="spellEnd"/>
      <w:r w:rsidRPr="007A71EB">
        <w:rPr>
          <w:rFonts w:hint="cs"/>
          <w:rtl/>
        </w:rPr>
        <w:t xml:space="preserve">, ד), ולא שור אחיך, ועליך להיות </w:t>
      </w:r>
      <w:proofErr w:type="spellStart"/>
      <w:r w:rsidRPr="007A71EB">
        <w:rPr>
          <w:rFonts w:hint="cs"/>
          <w:rtl/>
        </w:rPr>
        <w:t>גבור</w:t>
      </w:r>
      <w:proofErr w:type="spellEnd"/>
      <w:r w:rsidRPr="007A71EB">
        <w:rPr>
          <w:rFonts w:hint="cs"/>
          <w:rtl/>
        </w:rPr>
        <w:t xml:space="preserve">, </w:t>
      </w:r>
      <w:proofErr w:type="spellStart"/>
      <w:r w:rsidRPr="007A71EB">
        <w:rPr>
          <w:rFonts w:hint="cs"/>
          <w:rtl/>
        </w:rPr>
        <w:t>לכוף</w:t>
      </w:r>
      <w:proofErr w:type="spellEnd"/>
      <w:r w:rsidRPr="007A71EB">
        <w:rPr>
          <w:rFonts w:hint="cs"/>
          <w:rtl/>
        </w:rPr>
        <w:t xml:space="preserve"> יצרך ולעסוק בו. גם עצם </w:t>
      </w:r>
      <w:proofErr w:type="spellStart"/>
      <w:r w:rsidRPr="007A71EB">
        <w:rPr>
          <w:rFonts w:hint="cs"/>
          <w:rtl/>
        </w:rPr>
        <w:t>הארוע</w:t>
      </w:r>
      <w:proofErr w:type="spellEnd"/>
      <w:r w:rsidRPr="007A71EB">
        <w:rPr>
          <w:rFonts w:hint="cs"/>
          <w:rtl/>
        </w:rPr>
        <w:t xml:space="preserve"> מוצג בלשון התקפה. אתה תלך לדרכך, ולפתע תתנגש </w:t>
      </w:r>
      <w:proofErr w:type="spellStart"/>
      <w:r w:rsidRPr="007A71EB">
        <w:rPr>
          <w:rFonts w:hint="cs"/>
          <w:rtl/>
        </w:rPr>
        <w:t>בארוע</w:t>
      </w:r>
      <w:proofErr w:type="spellEnd"/>
      <w:r w:rsidRPr="007A71EB">
        <w:rPr>
          <w:rFonts w:hint="cs"/>
          <w:rtl/>
        </w:rPr>
        <w:t xml:space="preserve"> שיטיל עליך מעמסה. כנגד זה ספר דברים, בו שכינה מדברת מתוך גרונו של משה, אוחז בדרך כלל בלשונות של שכנוע ונועם. המאבד אחיך הוא (</w:t>
      </w:r>
      <w:proofErr w:type="spellStart"/>
      <w:r w:rsidRPr="007A71EB">
        <w:rPr>
          <w:rFonts w:hint="cs"/>
          <w:rtl/>
        </w:rPr>
        <w:t>כב</w:t>
      </w:r>
      <w:proofErr w:type="spellEnd"/>
      <w:r w:rsidRPr="007A71EB">
        <w:rPr>
          <w:rFonts w:hint="cs"/>
          <w:rtl/>
        </w:rPr>
        <w:t xml:space="preserve">, א), יהיה מי שיהיה, ועליך לעזור לו. גם היצר שעליך </w:t>
      </w:r>
      <w:proofErr w:type="spellStart"/>
      <w:r w:rsidRPr="007A71EB">
        <w:rPr>
          <w:rFonts w:hint="cs"/>
          <w:rtl/>
        </w:rPr>
        <w:t>לכוף</w:t>
      </w:r>
      <w:proofErr w:type="spellEnd"/>
      <w:r w:rsidRPr="007A71EB">
        <w:rPr>
          <w:rFonts w:hint="cs"/>
          <w:rtl/>
        </w:rPr>
        <w:t xml:space="preserve"> אינו יצר השנאה אלא יצר ההתעלמות. ספר דברים קורא לך </w:t>
      </w:r>
      <w:proofErr w:type="spellStart"/>
      <w:r w:rsidRPr="007A71EB">
        <w:rPr>
          <w:rFonts w:hint="cs"/>
          <w:rtl/>
        </w:rPr>
        <w:t>להפתח</w:t>
      </w:r>
      <w:proofErr w:type="spellEnd"/>
      <w:r w:rsidRPr="007A71EB">
        <w:rPr>
          <w:rFonts w:hint="cs"/>
          <w:rtl/>
        </w:rPr>
        <w:t xml:space="preserve"> ולהתרכך. כך לימדו חז"ל שתוכחות משה רבינו ארוכות יותר, אבל רכות יותר. האריכות היא פרי הרצון לשכנע. </w:t>
      </w:r>
    </w:p>
  </w:footnote>
  <w:footnote w:id="2">
    <w:p w:rsidR="005A13E4" w:rsidRPr="007A71EB" w:rsidRDefault="005A13E4" w:rsidP="005A13E4">
      <w:pPr>
        <w:pStyle w:val="a3"/>
        <w:rPr>
          <w:rFonts w:hint="cs"/>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 xml:space="preserve">נראה שאותה מציאות שבין ראיה מרחוק לבין פגיעה צמודה הבאה לכלל מגע קרובה להגדרת ההבטה בדברינו לעיל. האיסור "לא תוכל להתעלם" מתאים למצב </w:t>
      </w:r>
      <w:proofErr w:type="spellStart"/>
      <w:r w:rsidRPr="007A71EB">
        <w:rPr>
          <w:rFonts w:hint="cs"/>
          <w:rtl/>
        </w:rPr>
        <w:t>הקירבה</w:t>
      </w:r>
      <w:proofErr w:type="spellEnd"/>
      <w:r w:rsidRPr="007A71EB">
        <w:rPr>
          <w:rFonts w:hint="cs"/>
          <w:rtl/>
        </w:rPr>
        <w:t xml:space="preserve"> של ביטוי והבטה פנימית – נוצר די קשר עד שאסור להתעלם – בעוד שסתם ראיה מתפרשת כאן כראיה לא ברורה, כדברי המפרשים. ראית "מרחוק הוי' נראה לי" אינה מחייבת עבודת התפלה (רק תחושה של אהבת עולם), </w:t>
      </w:r>
      <w:proofErr w:type="spellStart"/>
      <w:r w:rsidRPr="007A71EB">
        <w:rPr>
          <w:rFonts w:hint="cs"/>
          <w:rtl/>
        </w:rPr>
        <w:t>משא"כ</w:t>
      </w:r>
      <w:proofErr w:type="spellEnd"/>
      <w:r w:rsidRPr="007A71EB">
        <w:rPr>
          <w:rFonts w:hint="cs"/>
          <w:rtl/>
        </w:rPr>
        <w:t xml:space="preserve"> "ויפגע במקום", אשר אז תיקן תפלת ערבית.</w:t>
      </w:r>
    </w:p>
  </w:footnote>
  <w:footnote w:id="3">
    <w:p w:rsidR="005A13E4" w:rsidRPr="007A71EB" w:rsidRDefault="005A13E4" w:rsidP="005A13E4">
      <w:pPr>
        <w:pStyle w:val="a3"/>
        <w:rPr>
          <w:rFonts w:hint="cs"/>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 xml:space="preserve">יוצא שיש שלש בחינות: ראיה, פגיעה, מציאה שבאה לידו. ראיה ומציאה (בחינת "ראית המהות" ו"ידיעת המציאות") בפשטות שייכות לחכמה ובינה, כמבואר ש"החכמה מאין תמצא" היינו שהחכמה שמאין תמצא בבינה (וראה לעיל, הערה </w:t>
      </w:r>
      <w:r w:rsidRPr="007A71EB">
        <w:rPr>
          <w:rtl/>
        </w:rPr>
        <w:fldChar w:fldCharType="begin"/>
      </w:r>
      <w:r w:rsidRPr="007A71EB">
        <w:rPr>
          <w:rtl/>
        </w:rPr>
        <w:instrText xml:space="preserve"> </w:instrText>
      </w:r>
      <w:r w:rsidRPr="007A71EB">
        <w:rPr>
          <w:rFonts w:hint="cs"/>
        </w:rPr>
        <w:instrText>NOTEREF</w:instrText>
      </w:r>
      <w:r w:rsidRPr="007A71EB">
        <w:rPr>
          <w:rFonts w:hint="cs"/>
          <w:rtl/>
        </w:rPr>
        <w:instrText xml:space="preserve"> _</w:instrText>
      </w:r>
      <w:r w:rsidRPr="007A71EB">
        <w:rPr>
          <w:rFonts w:hint="cs"/>
        </w:rPr>
        <w:instrText>Ref251185912 \h</w:instrText>
      </w:r>
      <w:r w:rsidRPr="007A71EB">
        <w:rPr>
          <w:rtl/>
        </w:rPr>
        <w:instrText xml:space="preserve"> </w:instrText>
      </w:r>
      <w:r w:rsidRPr="007A71EB">
        <w:rPr>
          <w:rtl/>
        </w:rPr>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ז</w:t>
      </w:r>
      <w:r w:rsidRPr="007A71EB">
        <w:rPr>
          <w:rtl/>
        </w:rPr>
        <w:fldChar w:fldCharType="end"/>
      </w:r>
      <w:r w:rsidRPr="007A71EB">
        <w:rPr>
          <w:rFonts w:hint="cs"/>
          <w:rtl/>
        </w:rPr>
        <w:t xml:space="preserve">, על כך שמציאה שייכת לעולם הבריאה, הוא העולם המשקף את הבינה). לפי זה הפגיעה היא כנגד דעת עליון </w:t>
      </w:r>
      <w:proofErr w:type="spellStart"/>
      <w:r w:rsidRPr="007A71EB">
        <w:rPr>
          <w:rFonts w:hint="cs"/>
          <w:rtl/>
        </w:rPr>
        <w:t>המפגיעה</w:t>
      </w:r>
      <w:proofErr w:type="spellEnd"/>
      <w:r w:rsidRPr="007A71EB">
        <w:rPr>
          <w:rFonts w:hint="cs"/>
          <w:rtl/>
        </w:rPr>
        <w:t xml:space="preserve"> ומפגישה את החכמה והבינה. </w:t>
      </w:r>
    </w:p>
    <w:p w:rsidR="005A13E4" w:rsidRPr="007A71EB" w:rsidRDefault="005A13E4" w:rsidP="005A13E4">
      <w:pPr>
        <w:pStyle w:val="a3"/>
        <w:rPr>
          <w:rFonts w:hint="cs"/>
        </w:rPr>
      </w:pPr>
      <w:r w:rsidRPr="007A71EB">
        <w:rPr>
          <w:rFonts w:hint="cs"/>
          <w:rtl/>
        </w:rPr>
        <w:tab/>
      </w:r>
      <w:r w:rsidRPr="007A71EB">
        <w:rPr>
          <w:rFonts w:hint="cs"/>
          <w:rtl/>
        </w:rPr>
        <w:tab/>
        <w:t>לפרש כי מצאתיה היינו ראיתיה, הרי זה כמו לומר שהחכמה שמאין תמצא כבר עם הופעתה מן הכתר-האין, כבר בחכמה עצמה. פירושו של דבר בנפש הוא כי כל ברק שמבריק על השכל, כל גילוי המגיח מן ההעלם, יש לקבלו בזרועות פתוחות ואפילו בהערצה, שכן ראוי</w:t>
      </w:r>
      <w:r w:rsidRPr="007A71EB">
        <w:rPr>
          <w:rFonts w:hint="cs"/>
          <w:sz w:val="22"/>
          <w:rtl/>
        </w:rPr>
        <w:t xml:space="preserve"> </w:t>
      </w:r>
      <w:proofErr w:type="spellStart"/>
      <w:r w:rsidRPr="007A71EB">
        <w:rPr>
          <w:rFonts w:hint="cs"/>
          <w:rtl/>
        </w:rPr>
        <w:t>להבטל</w:t>
      </w:r>
      <w:proofErr w:type="spellEnd"/>
      <w:r w:rsidRPr="007A71EB">
        <w:rPr>
          <w:rFonts w:hint="cs"/>
          <w:rtl/>
        </w:rPr>
        <w:t xml:space="preserve"> בפני מה שבא מחוץ למציאות והואיל לפקוד אותה. למצוא את החכמה</w:t>
      </w:r>
      <w:r w:rsidRPr="007A71EB">
        <w:rPr>
          <w:rFonts w:hint="cs"/>
          <w:sz w:val="22"/>
          <w:rtl/>
        </w:rPr>
        <w:t xml:space="preserve"> </w:t>
      </w:r>
      <w:r w:rsidRPr="007A71EB">
        <w:rPr>
          <w:rFonts w:hint="cs"/>
          <w:rtl/>
        </w:rPr>
        <w:t>בבינה היינו</w:t>
      </w:r>
      <w:r w:rsidRPr="007A71EB">
        <w:rPr>
          <w:rFonts w:hint="cs"/>
          <w:sz w:val="22"/>
          <w:rtl/>
        </w:rPr>
        <w:t xml:space="preserve"> </w:t>
      </w:r>
      <w:proofErr w:type="spellStart"/>
      <w:r w:rsidRPr="007A71EB">
        <w:rPr>
          <w:rFonts w:hint="cs"/>
          <w:rtl/>
        </w:rPr>
        <w:t>להעיז</w:t>
      </w:r>
      <w:proofErr w:type="spellEnd"/>
      <w:r w:rsidRPr="007A71EB">
        <w:rPr>
          <w:rFonts w:hint="cs"/>
          <w:rtl/>
        </w:rPr>
        <w:t xml:space="preserve"> לומר כי יש לברר את מה שהבריק על השכל, כי המציאות היא קנה מידה נכון, וכשממאנת לספוג אזי הצדק </w:t>
      </w:r>
      <w:proofErr w:type="spellStart"/>
      <w:r w:rsidRPr="007A71EB">
        <w:rPr>
          <w:rFonts w:hint="cs"/>
          <w:rtl/>
        </w:rPr>
        <w:t>איתה</w:t>
      </w:r>
      <w:proofErr w:type="spellEnd"/>
      <w:r w:rsidRPr="007A71EB">
        <w:rPr>
          <w:rFonts w:hint="cs"/>
          <w:rtl/>
        </w:rPr>
        <w:t xml:space="preserve">. הדעת העליונה היא הדוחפת למפגש בין ההברקות העילאיות לעובדות המוצקות, וכיוון שמצויים אנו בנקודת המפגש מתוודעים אנו להשפעה ההדדית, המציאות היא אמנם משמעותית ויכולה לשמש קנה מידה וכלי בירור להברקות החכמה, אבל אין היא מקור סמכות לגביה. לכן </w:t>
      </w:r>
      <w:proofErr w:type="spellStart"/>
      <w:r w:rsidRPr="007A71EB">
        <w:rPr>
          <w:rFonts w:hint="cs"/>
          <w:rtl/>
        </w:rPr>
        <w:t>המצוה</w:t>
      </w:r>
      <w:proofErr w:type="spellEnd"/>
      <w:r w:rsidRPr="007A71EB">
        <w:rPr>
          <w:rFonts w:hint="cs"/>
          <w:rtl/>
        </w:rPr>
        <w:t xml:space="preserve"> אינה כפופה להיווצרותה של מציאות חדשה כדי לצוות לקום ולפעול, אע"פ שאינה כפופה גם לכל רושם בעלמא שחולף על פני התודעה.</w:t>
      </w:r>
    </w:p>
  </w:footnote>
  <w:footnote w:id="4">
    <w:p w:rsidR="005A13E4" w:rsidRPr="007A71EB" w:rsidRDefault="005A13E4" w:rsidP="005A13E4">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ראה </w:t>
      </w:r>
      <w:proofErr w:type="spellStart"/>
      <w:r w:rsidRPr="007A71EB">
        <w:rPr>
          <w:rFonts w:hint="cs"/>
          <w:rtl/>
        </w:rPr>
        <w:t>ב"מ</w:t>
      </w:r>
      <w:proofErr w:type="spellEnd"/>
      <w:r w:rsidRPr="007A71EB">
        <w:rPr>
          <w:rFonts w:hint="cs"/>
          <w:rtl/>
        </w:rPr>
        <w:t xml:space="preserve"> </w:t>
      </w:r>
      <w:proofErr w:type="spellStart"/>
      <w:r w:rsidRPr="007A71EB">
        <w:rPr>
          <w:rFonts w:hint="cs"/>
          <w:rtl/>
        </w:rPr>
        <w:t>כז</w:t>
      </w:r>
      <w:proofErr w:type="spellEnd"/>
      <w:r w:rsidRPr="007A71EB">
        <w:rPr>
          <w:rFonts w:hint="cs"/>
          <w:rtl/>
        </w:rPr>
        <w:t>, א.</w:t>
      </w:r>
    </w:p>
  </w:footnote>
  <w:footnote w:id="5">
    <w:p w:rsidR="005A13E4" w:rsidRPr="007A71EB" w:rsidRDefault="005A13E4" w:rsidP="005A13E4">
      <w:pPr>
        <w:pStyle w:val="a3"/>
        <w:rPr>
          <w:rFonts w:hint="cs"/>
          <w:sz w:val="21"/>
          <w:rtl/>
        </w:rPr>
      </w:pPr>
      <w:r>
        <w:rPr>
          <w:rFonts w:hint="cs"/>
          <w:sz w:val="21"/>
          <w:rtl/>
        </w:rPr>
        <w:tab/>
      </w:r>
      <w:r w:rsidRPr="007A71EB">
        <w:rPr>
          <w:rFonts w:hint="cs"/>
          <w:sz w:val="21"/>
          <w:rtl/>
        </w:rPr>
        <w:tab/>
      </w:r>
      <w:r w:rsidRPr="007A71EB">
        <w:rPr>
          <w:rFonts w:hint="cs"/>
          <w:sz w:val="21"/>
          <w:rtl/>
        </w:rPr>
        <w:t>יש בנותן ענין להביא כאן את דברי ספר מי השילוח (</w:t>
      </w:r>
      <w:proofErr w:type="spellStart"/>
      <w:r w:rsidRPr="007A71EB">
        <w:rPr>
          <w:rFonts w:hint="cs"/>
          <w:sz w:val="21"/>
          <w:rtl/>
        </w:rPr>
        <w:t>ח"ב</w:t>
      </w:r>
      <w:proofErr w:type="spellEnd"/>
      <w:r w:rsidRPr="007A71EB">
        <w:rPr>
          <w:rFonts w:hint="cs"/>
          <w:sz w:val="21"/>
          <w:rtl/>
        </w:rPr>
        <w:t xml:space="preserve"> ליקוטי </w:t>
      </w:r>
      <w:proofErr w:type="spellStart"/>
      <w:r w:rsidRPr="007A71EB">
        <w:rPr>
          <w:rFonts w:hint="cs"/>
          <w:sz w:val="21"/>
          <w:rtl/>
        </w:rPr>
        <w:t>הש"ס</w:t>
      </w:r>
      <w:proofErr w:type="spellEnd"/>
      <w:r w:rsidRPr="007A71EB">
        <w:rPr>
          <w:rFonts w:hint="cs"/>
          <w:sz w:val="21"/>
          <w:rtl/>
        </w:rPr>
        <w:t>):</w:t>
      </w:r>
    </w:p>
    <w:p w:rsidR="005A13E4" w:rsidRPr="007A71EB" w:rsidRDefault="005A13E4" w:rsidP="005A13E4">
      <w:pPr>
        <w:pStyle w:val="a5"/>
        <w:rPr>
          <w:rStyle w:val="a7"/>
          <w:rFonts w:hint="cs"/>
          <w:rtl/>
        </w:rPr>
      </w:pPr>
      <w:r w:rsidRPr="007A71EB">
        <w:rPr>
          <w:rStyle w:val="a7"/>
          <w:rFonts w:hint="cs"/>
          <w:rtl/>
        </w:rPr>
        <w:t>"הוה אמינא מאי 'מצאתיה' – ראיתיה, אף על גב דלא אתאי לידיה בראיה בעלמא קני, תנא 'כולה שלי' דבראיה לא קני" – כי ב"סלקא דעתך" נוכל לומר שבראיה בעלמא קני. וכן היה ביציאת מצרים, ששם השיגו ישראל בראיה, כמו שאמרו "ראתה שפחה על הים...", וחשבו ישראל שבראיה זו קנו את האור בקנין גמור. אחר כך הלכו ג' ימים "ולא מצאו מים" – שלא היתה להם שום תשוקה וחשק, וכדאיתא במדרש – בלא תורה. ואז הכירו שאין להם עדיין קנין גמור, רק במתן תורה זכו לקנין בשלמות; כי כל מה שמשיג האדם בראיה, יכול לקנות אחר כן בקנין גמור על ידי השתדלות, רק צריך לזה זמן. ואחר כן, מה שמשתדל וקונה על ידי פעולותיו – זה נשאר לו לעולם-הבא גם כן, כי זה הוא חלקו בשורשו, אבל מה שרואה ואין לו בזה קנין גמור, זהו רק בעולם הזה, שיכול לראות אור למעלה ממדרגתו, אבל לעולם הבא, שם ישאר בידו רק מה שקנה על ידי השתדלותו, שזה שייך לו בשורשו.</w:t>
      </w:r>
    </w:p>
    <w:p w:rsidR="005A13E4" w:rsidRPr="007A71EB" w:rsidRDefault="005A13E4" w:rsidP="005A13E4">
      <w:pPr>
        <w:pStyle w:val="a3"/>
        <w:rPr>
          <w:rFonts w:hint="cs"/>
          <w:sz w:val="21"/>
          <w:rtl/>
        </w:rPr>
      </w:pPr>
      <w:r w:rsidRPr="007A71EB">
        <w:rPr>
          <w:rFonts w:hint="cs"/>
          <w:rtl/>
        </w:rPr>
        <w:tab/>
      </w:r>
      <w:r w:rsidRPr="007A71EB">
        <w:rPr>
          <w:rFonts w:hint="cs"/>
          <w:rtl/>
        </w:rPr>
        <w:tab/>
        <w:t xml:space="preserve">[וכן הזכיר ענין זה תלמידו, </w:t>
      </w:r>
      <w:proofErr w:type="spellStart"/>
      <w:r w:rsidRPr="007A71EB">
        <w:rPr>
          <w:rFonts w:hint="cs"/>
          <w:rtl/>
        </w:rPr>
        <w:t>הר"צ</w:t>
      </w:r>
      <w:proofErr w:type="spellEnd"/>
      <w:r w:rsidRPr="007A71EB">
        <w:rPr>
          <w:rFonts w:hint="cs"/>
          <w:rtl/>
        </w:rPr>
        <w:t xml:space="preserve"> הכהן זצ"ל ברסיסי לילה (נב, ד"ה ובקריעת, וכדרכו, כשמביא דברי רבו נוקט שם "שמעתי…"), ובקדושת השבת (ז, עמ' 53), שלפי מחשבת בני אדם – אשר לה מרמזת </w:t>
      </w:r>
      <w:proofErr w:type="spellStart"/>
      <w:r w:rsidRPr="007A71EB">
        <w:rPr>
          <w:rFonts w:hint="cs"/>
          <w:rtl/>
        </w:rPr>
        <w:t>ה'סלקא</w:t>
      </w:r>
      <w:proofErr w:type="spellEnd"/>
      <w:r w:rsidRPr="007A71EB">
        <w:rPr>
          <w:rFonts w:hint="cs"/>
          <w:rtl/>
        </w:rPr>
        <w:t xml:space="preserve"> </w:t>
      </w:r>
      <w:proofErr w:type="spellStart"/>
      <w:r w:rsidRPr="007A71EB">
        <w:rPr>
          <w:rFonts w:hint="cs"/>
          <w:rtl/>
        </w:rPr>
        <w:t>דעתין</w:t>
      </w:r>
      <w:proofErr w:type="spellEnd"/>
      <w:r w:rsidRPr="007A71EB">
        <w:rPr>
          <w:rFonts w:hint="cs"/>
          <w:rtl/>
        </w:rPr>
        <w:t xml:space="preserve">' – כשמשיג הדבר בראיה חושב שכבר השיגו והלה קנוי לו, אך האמת אינה כן. ובזה פרש (בקומץ המנחה </w:t>
      </w:r>
      <w:proofErr w:type="spellStart"/>
      <w:r w:rsidRPr="007A71EB">
        <w:rPr>
          <w:rFonts w:hint="cs"/>
          <w:rtl/>
        </w:rPr>
        <w:t>ח"ב</w:t>
      </w:r>
      <w:proofErr w:type="spellEnd"/>
      <w:r w:rsidRPr="007A71EB">
        <w:rPr>
          <w:rFonts w:hint="cs"/>
          <w:rtl/>
        </w:rPr>
        <w:t>, סה) את דברי המדרש (</w:t>
      </w:r>
      <w:proofErr w:type="spellStart"/>
      <w:r w:rsidRPr="007A71EB">
        <w:rPr>
          <w:rFonts w:hint="cs"/>
          <w:rtl/>
        </w:rPr>
        <w:t>ב"ר</w:t>
      </w:r>
      <w:proofErr w:type="spellEnd"/>
      <w:r w:rsidRPr="007A71EB">
        <w:rPr>
          <w:rFonts w:hint="cs"/>
          <w:rtl/>
        </w:rPr>
        <w:t xml:space="preserve"> סוף סד) – "</w:t>
      </w:r>
      <w:r w:rsidRPr="007A71EB">
        <w:rPr>
          <w:rtl/>
        </w:rPr>
        <w:t xml:space="preserve">אין אנו יודעים אם מצאו או לא מצאו </w:t>
      </w:r>
      <w:proofErr w:type="spellStart"/>
      <w:r w:rsidRPr="007A71EB">
        <w:rPr>
          <w:rtl/>
        </w:rPr>
        <w:t>וכו</w:t>
      </w:r>
      <w:proofErr w:type="spellEnd"/>
      <w:r w:rsidRPr="007A71EB">
        <w:rPr>
          <w:rtl/>
        </w:rPr>
        <w:t>'</w:t>
      </w:r>
      <w:r w:rsidRPr="007A71EB">
        <w:rPr>
          <w:rFonts w:hint="cs"/>
          <w:rtl/>
        </w:rPr>
        <w:t>",</w:t>
      </w:r>
      <w:r w:rsidRPr="007A71EB">
        <w:rPr>
          <w:rtl/>
        </w:rPr>
        <w:t xml:space="preserve"> </w:t>
      </w:r>
      <w:r w:rsidRPr="007A71EB">
        <w:rPr>
          <w:rFonts w:hint="cs"/>
          <w:rtl/>
        </w:rPr>
        <w:t xml:space="preserve">ע"ש]. </w:t>
      </w:r>
    </w:p>
  </w:footnote>
  <w:footnote w:id="6">
    <w:p w:rsidR="005A13E4" w:rsidRPr="007A71EB" w:rsidRDefault="005A13E4" w:rsidP="005A13E4">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נצטט</w:t>
      </w:r>
      <w:r w:rsidRPr="007A71EB">
        <w:rPr>
          <w:rFonts w:hint="cs"/>
          <w:sz w:val="21"/>
          <w:rtl/>
        </w:rPr>
        <w:t xml:space="preserve"> כאן בדילוגים מן השייך </w:t>
      </w:r>
      <w:proofErr w:type="spellStart"/>
      <w:r w:rsidRPr="007A71EB">
        <w:rPr>
          <w:rFonts w:hint="cs"/>
          <w:sz w:val="21"/>
          <w:rtl/>
        </w:rPr>
        <w:t>לעניננו</w:t>
      </w:r>
      <w:proofErr w:type="spellEnd"/>
      <w:r w:rsidRPr="007A71EB">
        <w:rPr>
          <w:rFonts w:hint="cs"/>
          <w:sz w:val="21"/>
          <w:rtl/>
        </w:rPr>
        <w:t>:</w:t>
      </w:r>
      <w:r w:rsidRPr="007A71EB">
        <w:rPr>
          <w:rFonts w:hint="cs"/>
          <w:rtl/>
        </w:rPr>
        <w:tab/>
      </w:r>
    </w:p>
    <w:p w:rsidR="005A13E4" w:rsidRPr="007A71EB" w:rsidRDefault="005A13E4" w:rsidP="005A13E4">
      <w:pPr>
        <w:pStyle w:val="a5"/>
        <w:rPr>
          <w:rStyle w:val="a7"/>
          <w:rFonts w:hint="cs"/>
          <w:rtl/>
        </w:rPr>
      </w:pPr>
      <w:r w:rsidRPr="007A71EB">
        <w:rPr>
          <w:rStyle w:val="a7"/>
          <w:rFonts w:hint="cs"/>
          <w:rtl/>
        </w:rPr>
        <w:t>ענין הראיה הוא שעל ידה יודע ממציאות דבר מה, וגם מכיר כמה מפרטי דבר ההוא. ואפשר שתעשה הראי' רושם חזק בנפש הרואה</w:t>
      </w:r>
      <w:r w:rsidRPr="007A71EB">
        <w:rPr>
          <w:rStyle w:val="a7"/>
          <w:rFonts w:cs="Times New Roman" w:hint="cs"/>
          <w:rtl/>
        </w:rPr>
        <w:t>…</w:t>
      </w:r>
      <w:r w:rsidRPr="007A71EB">
        <w:rPr>
          <w:rStyle w:val="a7"/>
          <w:rFonts w:hint="cs"/>
          <w:rtl/>
        </w:rPr>
        <w:t xml:space="preserve"> ולכן הזהירו רז"ל כל כך על השמירה מראות ברע, ולא רק בדרך הסתכלות החזקה, אלא אפילו על ראיה בעלמא הזהירו</w:t>
      </w:r>
      <w:r w:rsidRPr="007A71EB">
        <w:rPr>
          <w:rStyle w:val="a7"/>
          <w:rFonts w:cs="Times New Roman" w:hint="cs"/>
          <w:rtl/>
        </w:rPr>
        <w:t>…</w:t>
      </w:r>
      <w:r w:rsidRPr="007A71EB">
        <w:rPr>
          <w:rStyle w:val="a7"/>
          <w:rFonts w:hint="cs"/>
          <w:rtl/>
        </w:rPr>
        <w:t xml:space="preserve"> עד שלפעמים יכולה הראי' לפעול גם אם אין השתתפות כח המחשבה בזה [וכדאיתא (זבים פ"ב מ"ב) בז' דרכים בודקין את הזב.. הרהר עד שלא ראה או שראה עד שלא הרהר]</w:t>
      </w:r>
      <w:r w:rsidRPr="007A71EB">
        <w:rPr>
          <w:rStyle w:val="a7"/>
          <w:rFonts w:cs="Times New Roman" w:hint="cs"/>
          <w:rtl/>
        </w:rPr>
        <w:t>…</w:t>
      </w:r>
      <w:r w:rsidRPr="007A71EB">
        <w:rPr>
          <w:rStyle w:val="a7"/>
          <w:rFonts w:hint="cs"/>
          <w:rtl/>
        </w:rPr>
        <w:t xml:space="preserve"> אבל עם כ"ז, אין הראי' אלא כח מקיף, ואין זה פעולה בגוף הדבר, שלכן אמרו דבראי' לא קני.</w:t>
      </w:r>
    </w:p>
    <w:p w:rsidR="005A13E4" w:rsidRPr="007A71EB" w:rsidRDefault="005A13E4" w:rsidP="005A13E4">
      <w:pPr>
        <w:pStyle w:val="a5"/>
        <w:rPr>
          <w:rStyle w:val="a7"/>
          <w:rFonts w:hint="cs"/>
          <w:rtl/>
        </w:rPr>
      </w:pPr>
      <w:r w:rsidRPr="007A71EB">
        <w:rPr>
          <w:rStyle w:val="a7"/>
          <w:rFonts w:hint="cs"/>
          <w:rtl/>
        </w:rPr>
        <w:t xml:space="preserve">והנה, בענין המציאה, שהוא כנ"ל </w:t>
      </w:r>
      <w:r w:rsidRPr="007A71EB">
        <w:rPr>
          <w:rFonts w:hint="cs"/>
          <w:sz w:val="21"/>
          <w:rtl/>
        </w:rPr>
        <w:t xml:space="preserve">[כלומר, כפי שנדרש לעיל מזה, ראה ציטוט חלקי בסוף נספח ג] </w:t>
      </w:r>
      <w:r w:rsidRPr="007A71EB">
        <w:rPr>
          <w:rStyle w:val="a7"/>
          <w:rFonts w:hint="cs"/>
          <w:rtl/>
        </w:rPr>
        <w:t xml:space="preserve">הזדמנות או התעוררות הבאה מלמעלה, כמה אופנים יש בזה: לפעמים אין האדם שם לב, או שגם אינו מרגיש ורואה התעוררות זו, ואינו אלא ע"ד מרז"ל (סנהדרין צד' ע"א) "אינהו לא חזי </w:t>
      </w:r>
      <w:r w:rsidRPr="007A71EB">
        <w:rPr>
          <w:rStyle w:val="a7"/>
          <w:rtl/>
        </w:rPr>
        <w:t>מידי</w:t>
      </w:r>
      <w:r w:rsidRPr="007A71EB">
        <w:rPr>
          <w:rStyle w:val="a7"/>
          <w:rFonts w:hint="cs"/>
          <w:rtl/>
        </w:rPr>
        <w:t xml:space="preserve"> מזלייהו חזי", שנשמתו המלובשת בגופו אינה רואה התעוררות זו, ורק מזלייהו חזי; [ו]לפעמים מרגיש ההתעוררות, שנופלים לו הרהורי תשובה במחשבתו וכנ"ל.</w:t>
      </w:r>
    </w:p>
    <w:p w:rsidR="005A13E4" w:rsidRPr="007A71EB" w:rsidRDefault="005A13E4" w:rsidP="005A13E4">
      <w:pPr>
        <w:pStyle w:val="a5"/>
        <w:rPr>
          <w:rStyle w:val="a7"/>
          <w:rFonts w:hint="cs"/>
          <w:rtl/>
        </w:rPr>
      </w:pPr>
      <w:r w:rsidRPr="007A71EB">
        <w:rPr>
          <w:rStyle w:val="a7"/>
          <w:rFonts w:hint="cs"/>
          <w:rtl/>
        </w:rPr>
        <w:t>ובזה גופא ב' דרכים: ההתעוררות פועלת שחוזר מדרכו הרעה, ושב לה' ולתורתו, והוא כדמיון מי שראה את המציאה והחזיק בה. או, שלפי שעה הוא עומד בהתרגשות, אבל כעבור ההתעוררות דלמעלה, חולף ועובר גם רוח טהרה שבקרבו. וכמו שרואים אנשים שנתעוררו בעשרת ימי תשובה, שאז מעוררין את האדם מלמעלה</w:t>
      </w:r>
      <w:r w:rsidRPr="007A71EB">
        <w:rPr>
          <w:rStyle w:val="a7"/>
          <w:rFonts w:cs="Times New Roman" w:hint="cs"/>
          <w:rtl/>
        </w:rPr>
        <w:t>…</w:t>
      </w:r>
      <w:r w:rsidRPr="007A71EB">
        <w:rPr>
          <w:rStyle w:val="a7"/>
          <w:rFonts w:hint="cs"/>
          <w:rtl/>
        </w:rPr>
        <w:t xml:space="preserve"> אבל כעבור ימים אלו חוזרים לסורם.</w:t>
      </w:r>
    </w:p>
    <w:p w:rsidR="005A13E4" w:rsidRPr="007A71EB" w:rsidRDefault="005A13E4" w:rsidP="005A13E4">
      <w:pPr>
        <w:pStyle w:val="a5"/>
        <w:rPr>
          <w:rStyle w:val="a7"/>
          <w:rFonts w:hint="cs"/>
          <w:rtl/>
        </w:rPr>
      </w:pPr>
      <w:r w:rsidRPr="007A71EB">
        <w:rPr>
          <w:rStyle w:val="a7"/>
          <w:rFonts w:hint="cs"/>
          <w:rtl/>
        </w:rPr>
        <w:t>ונבאר בפרטיות יותר קצת: הרי שבא על אשה בעבירה, ולאחר זמן</w:t>
      </w:r>
      <w:r w:rsidRPr="007A71EB">
        <w:rPr>
          <w:rStyle w:val="a7"/>
          <w:rFonts w:cs="Times New Roman" w:hint="cs"/>
          <w:rtl/>
        </w:rPr>
        <w:t>…</w:t>
      </w:r>
      <w:r w:rsidRPr="007A71EB">
        <w:rPr>
          <w:rStyle w:val="a7"/>
          <w:rFonts w:hint="cs"/>
          <w:rtl/>
        </w:rPr>
        <w:t xml:space="preserve"> נזכר לפתע פתאום על עון זה, ונתחרט עליו, עד שגמר בלבו שלא יעשהו עוד. והנה, מצד מצבו עתה, הרי האדם יראה לעינים, ויש מקום לומר שתשובתו תשובה שלמה היא, שזדונות נעשו לו כזכיות, והוא כבר בסוג ישב ולא עבר עבירה הנ"ל שנותנין לו שכר – הטלית – כאלו עשה מצוה. אבל הבחינה בזה הוא, כשאירע באותו פרק באותו מקום באותה אשה, וכמרז"ל יומא (פו' ע"ב), אם אז שכח לגמרי על ההתעוררות שנתעורר, ונכשל עוד הפעם, הרי זו הוכחה שלא היתה אלא ראיה בעלמא, אבל לא החזיק בהמציאה ואין הטלית שלו.</w:t>
      </w:r>
    </w:p>
    <w:p w:rsidR="005A13E4" w:rsidRPr="007A71EB" w:rsidRDefault="005A13E4" w:rsidP="005A13E4">
      <w:pPr>
        <w:pStyle w:val="a5"/>
        <w:rPr>
          <w:rStyle w:val="a7"/>
          <w:rFonts w:hint="cs"/>
          <w:rtl/>
        </w:rPr>
      </w:pPr>
      <w:r w:rsidRPr="007A71EB">
        <w:rPr>
          <w:rStyle w:val="a7"/>
          <w:rFonts w:hint="cs"/>
          <w:rtl/>
        </w:rPr>
        <w:t>ובכל זאת, כדמיון ראית עין – שאפשר שתשאיר רושם בנפש אפי' אם לא היה בהסתכלות החזקה, וגם אפילו אם היה בלי השתתפות כוח המחשבה והשכל כנ"ל – הנה גם בראי' זו אפשר שכעבור איזה זמן אחרי שנכשל בפעם הב', זכור יזכור מעמדו ומצבו בעשי"ת העבר, וזכרון זה יעכבו מעשית עבירה זו עוד הפעם. אבל בכל זאת, בשעת הראיה אינה ניקנית קנין בנפשו, ואינו ענין אמתי אצלו, כיון שתכף ומייד חולפת ועוברת ההתעוררות. והוא כדמיון רואה מציאה, אבל אינו מחזיק בה לעשות מעשה בפועל.</w:t>
      </w:r>
    </w:p>
    <w:p w:rsidR="005A13E4" w:rsidRPr="007A71EB" w:rsidRDefault="005A13E4" w:rsidP="005A13E4">
      <w:pPr>
        <w:pStyle w:val="a5"/>
        <w:rPr>
          <w:rStyle w:val="a7"/>
          <w:rFonts w:hint="cs"/>
        </w:rPr>
      </w:pPr>
      <w:r w:rsidRPr="007A71EB">
        <w:rPr>
          <w:rStyle w:val="a7"/>
          <w:rFonts w:hint="cs"/>
          <w:rtl/>
        </w:rPr>
        <w:t xml:space="preserve">וזהו פירוש הסוגיא: "אי תנא אני מצאתיה הוה אמינא בראיה בעלמא קני", כיון שבשעת ההתעוררות עומד בהתרגשות ובוכה במר נפשו. וקמ"ל מתני' דלא קני, כי תכלית ההתעוררות הוא שיחזיק בה, ויביאנה בפועל בסור מרע או בועשה טוב. ומסיק </w:t>
      </w:r>
      <w:r w:rsidRPr="007A71EB">
        <w:rPr>
          <w:rFonts w:hint="cs"/>
          <w:rtl/>
        </w:rPr>
        <w:t>"</w:t>
      </w:r>
      <w:r w:rsidRPr="007A71EB">
        <w:rPr>
          <w:rStyle w:val="a7"/>
          <w:rtl/>
        </w:rPr>
        <w:t>דמצאת דקרא</w:t>
      </w:r>
      <w:r w:rsidRPr="007A71EB">
        <w:rPr>
          <w:rStyle w:val="a7"/>
          <w:rFonts w:hint="cs"/>
          <w:rtl/>
        </w:rPr>
        <w:t xml:space="preserve"> – תורה – </w:t>
      </w:r>
      <w:r w:rsidRPr="007A71EB">
        <w:rPr>
          <w:rStyle w:val="a7"/>
          <w:rtl/>
        </w:rPr>
        <w:t>דאתי לידי</w:t>
      </w:r>
      <w:r w:rsidRPr="007A71EB">
        <w:rPr>
          <w:rStyle w:val="a7"/>
          <w:rFonts w:hint="cs"/>
          <w:rtl/>
        </w:rPr>
        <w:t>ה</w:t>
      </w:r>
      <w:r w:rsidRPr="007A71EB">
        <w:rPr>
          <w:rStyle w:val="a7"/>
          <w:rtl/>
        </w:rPr>
        <w:t xml:space="preserve"> משמע</w:t>
      </w:r>
      <w:r w:rsidRPr="007A71EB">
        <w:rPr>
          <w:rStyle w:val="a7"/>
          <w:rFonts w:hint="cs"/>
          <w:rtl/>
        </w:rPr>
        <w:t>" – כי התורה היא תורת אמת, ושפת אמת תכון לעד, היינו שההתעוררות תהי' רִשומה קיים גם כעבור עת רצון דלמעלה, והוא על ידי שיחזיק בה, ורק אז נקרא שמצאה. אבל "לישנא דעלמא" – שהאדם יראה לעינים – "מדחזי לה אמר אנא אשכחתיה", כיון שבשעה זו הוא מתעורר לתשובה ותורה ומצוות.</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5A"/>
    <w:rsid w:val="00061E65"/>
    <w:rsid w:val="005A13E4"/>
    <w:rsid w:val="008D323A"/>
    <w:rsid w:val="00AC2310"/>
    <w:rsid w:val="00E07B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A13E4"/>
    <w:pPr>
      <w:spacing w:after="0" w:line="240" w:lineRule="auto"/>
    </w:pPr>
    <w:rPr>
      <w:sz w:val="20"/>
      <w:szCs w:val="20"/>
    </w:rPr>
  </w:style>
  <w:style w:type="character" w:customStyle="1" w:styleId="a4">
    <w:name w:val="טקסט הערת שוליים תו"/>
    <w:basedOn w:val="a0"/>
    <w:link w:val="a3"/>
    <w:uiPriority w:val="99"/>
    <w:semiHidden/>
    <w:rsid w:val="005A13E4"/>
    <w:rPr>
      <w:sz w:val="20"/>
      <w:szCs w:val="20"/>
    </w:rPr>
  </w:style>
  <w:style w:type="paragraph" w:customStyle="1" w:styleId="a5">
    <w:name w:val="ציטוט שוליים"/>
    <w:basedOn w:val="a6"/>
    <w:link w:val="a7"/>
    <w:rsid w:val="005A13E4"/>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5A13E4"/>
    <w:rPr>
      <w:rFonts w:ascii="Times New Roman" w:eastAsia="Times New Roman" w:hAnsi="Times New Roman" w:cs="Guttman Vilna"/>
      <w:i w:val="0"/>
      <w:iCs w:val="0"/>
      <w:noProof/>
      <w:snapToGrid w:val="0"/>
      <w:color w:val="000000" w:themeColor="text1"/>
      <w:sz w:val="26"/>
      <w:szCs w:val="18"/>
      <w:lang w:eastAsia="he-IL"/>
    </w:rPr>
  </w:style>
  <w:style w:type="paragraph" w:styleId="a6">
    <w:name w:val="Quote"/>
    <w:basedOn w:val="a"/>
    <w:next w:val="a"/>
    <w:link w:val="a8"/>
    <w:uiPriority w:val="29"/>
    <w:qFormat/>
    <w:rsid w:val="005A13E4"/>
    <w:rPr>
      <w:i/>
      <w:iCs/>
      <w:color w:val="000000" w:themeColor="text1"/>
    </w:rPr>
  </w:style>
  <w:style w:type="character" w:customStyle="1" w:styleId="a8">
    <w:name w:val="ציטוט תו"/>
    <w:basedOn w:val="a0"/>
    <w:link w:val="a6"/>
    <w:uiPriority w:val="29"/>
    <w:rsid w:val="005A13E4"/>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A13E4"/>
    <w:pPr>
      <w:spacing w:after="0" w:line="240" w:lineRule="auto"/>
    </w:pPr>
    <w:rPr>
      <w:sz w:val="20"/>
      <w:szCs w:val="20"/>
    </w:rPr>
  </w:style>
  <w:style w:type="character" w:customStyle="1" w:styleId="a4">
    <w:name w:val="טקסט הערת שוליים תו"/>
    <w:basedOn w:val="a0"/>
    <w:link w:val="a3"/>
    <w:uiPriority w:val="99"/>
    <w:semiHidden/>
    <w:rsid w:val="005A13E4"/>
    <w:rPr>
      <w:sz w:val="20"/>
      <w:szCs w:val="20"/>
    </w:rPr>
  </w:style>
  <w:style w:type="paragraph" w:customStyle="1" w:styleId="a5">
    <w:name w:val="ציטוט שוליים"/>
    <w:basedOn w:val="a6"/>
    <w:link w:val="a7"/>
    <w:rsid w:val="005A13E4"/>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5A13E4"/>
    <w:rPr>
      <w:rFonts w:ascii="Times New Roman" w:eastAsia="Times New Roman" w:hAnsi="Times New Roman" w:cs="Guttman Vilna"/>
      <w:i w:val="0"/>
      <w:iCs w:val="0"/>
      <w:noProof/>
      <w:snapToGrid w:val="0"/>
      <w:color w:val="000000" w:themeColor="text1"/>
      <w:sz w:val="26"/>
      <w:szCs w:val="18"/>
      <w:lang w:eastAsia="he-IL"/>
    </w:rPr>
  </w:style>
  <w:style w:type="paragraph" w:styleId="a6">
    <w:name w:val="Quote"/>
    <w:basedOn w:val="a"/>
    <w:next w:val="a"/>
    <w:link w:val="a8"/>
    <w:uiPriority w:val="29"/>
    <w:qFormat/>
    <w:rsid w:val="005A13E4"/>
    <w:rPr>
      <w:i/>
      <w:iCs/>
      <w:color w:val="000000" w:themeColor="text1"/>
    </w:rPr>
  </w:style>
  <w:style w:type="character" w:customStyle="1" w:styleId="a8">
    <w:name w:val="ציטוט תו"/>
    <w:basedOn w:val="a0"/>
    <w:link w:val="a6"/>
    <w:uiPriority w:val="29"/>
    <w:rsid w:val="005A13E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1876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2017-07-12T11:00:00Z</dcterms:created>
  <dcterms:modified xsi:type="dcterms:W3CDTF">2017-07-12T11:00:00Z</dcterms:modified>
</cp:coreProperties>
</file>