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A7" w:rsidRPr="000A54A7" w:rsidRDefault="000A54A7" w:rsidP="000A54A7">
      <w:pPr>
        <w:keepNext/>
        <w:spacing w:before="240" w:after="12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208"/>
      <w:bookmarkStart w:id="1" w:name="_Ref254801964"/>
      <w:bookmarkStart w:id="2" w:name="_Toc254802116"/>
      <w:r w:rsidRPr="000A54A7">
        <w:rPr>
          <w:rFonts w:ascii="Times New Roman" w:eastAsia="Times New Roman" w:hAnsi="Times New Roman" w:cs="Guttman Vilna" w:hint="cs"/>
          <w:bCs/>
          <w:noProof/>
          <w:szCs w:val="30"/>
          <w:rtl/>
          <w:lang w:eastAsia="he-IL"/>
        </w:rPr>
        <w:t>הבחנות ופרצוף בתוך הראיה עצמה</w:t>
      </w:r>
      <w:bookmarkEnd w:id="0"/>
      <w:bookmarkEnd w:id="1"/>
      <w:bookmarkEnd w:id="2"/>
    </w:p>
    <w:p w:rsidR="000A54A7" w:rsidRPr="000A54A7" w:rsidRDefault="000A54A7" w:rsidP="000A54A7">
      <w:pPr>
        <w:spacing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 xml:space="preserve">כיוון שהרחבנו על כח הראיה, נבוא לזהות בתוכו עצמו פרצוף שלם, בעקבות אבחנות הרבי שם: </w:t>
      </w:r>
    </w:p>
    <w:p w:rsidR="000A54A7" w:rsidRPr="000A54A7" w:rsidRDefault="000A54A7" w:rsidP="000A54A7">
      <w:pPr>
        <w:spacing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הראיה שבחכמה היא כנגד ה-</w:t>
      </w:r>
      <w:r w:rsidRPr="000A54A7">
        <w:rPr>
          <w:rFonts w:ascii="Times New Roman" w:eastAsia="Times New Roman" w:hAnsi="Times New Roman" w:cs="MiriamMFO" w:hint="cs"/>
          <w:noProof/>
          <w:rtl/>
          <w:lang w:eastAsia="he-IL"/>
        </w:rPr>
        <w:t>י</w:t>
      </w:r>
      <w:r w:rsidRPr="000A54A7">
        <w:rPr>
          <w:rFonts w:ascii="Times New Roman" w:eastAsia="Times New Roman" w:hAnsi="Times New Roman" w:cs="oprFrank" w:hint="cs"/>
          <w:noProof/>
          <w:sz w:val="26"/>
          <w:szCs w:val="27"/>
          <w:rtl/>
          <w:lang w:eastAsia="he-IL"/>
        </w:rPr>
        <w:t xml:space="preserve"> שבשם ה'. ב-</w:t>
      </w:r>
      <w:r w:rsidRPr="000A54A7">
        <w:rPr>
          <w:rFonts w:ascii="Times New Roman" w:eastAsia="Times New Roman" w:hAnsi="Times New Roman" w:cs="MiriamMFO" w:hint="cs"/>
          <w:noProof/>
          <w:rtl/>
          <w:lang w:eastAsia="he-IL"/>
        </w:rPr>
        <w:t>י</w:t>
      </w:r>
      <w:r w:rsidRPr="000A54A7">
        <w:rPr>
          <w:rFonts w:ascii="Times New Roman" w:eastAsia="Times New Roman" w:hAnsi="Times New Roman" w:cs="oprFrank" w:hint="cs"/>
          <w:noProof/>
          <w:sz w:val="26"/>
          <w:szCs w:val="27"/>
          <w:rtl/>
          <w:lang w:eastAsia="he-IL"/>
        </w:rPr>
        <w:t xml:space="preserve"> עצמו מבחין הזהר שלשה חלקים: קוצא, גיזעא ושבילא. </w:t>
      </w:r>
    </w:p>
    <w:p w:rsidR="000A54A7" w:rsidRPr="000A54A7" w:rsidRDefault="000A54A7" w:rsidP="000A54A7">
      <w:pPr>
        <w:widowControl w:val="0"/>
        <w:spacing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כנגד גוף ה-</w:t>
      </w:r>
      <w:r w:rsidRPr="000A54A7">
        <w:rPr>
          <w:rFonts w:ascii="Times New Roman" w:eastAsia="Times New Roman" w:hAnsi="Times New Roman" w:cs="MiriamMFO" w:hint="cs"/>
          <w:noProof/>
          <w:rtl/>
          <w:lang w:eastAsia="he-IL"/>
        </w:rPr>
        <w:t>י</w:t>
      </w:r>
      <w:r w:rsidRPr="000A54A7">
        <w:rPr>
          <w:rFonts w:ascii="Times New Roman" w:eastAsia="Times New Roman" w:hAnsi="Times New Roman" w:cs="oprFrank" w:hint="cs"/>
          <w:noProof/>
          <w:sz w:val="26"/>
          <w:szCs w:val="27"/>
          <w:rtl/>
          <w:lang w:eastAsia="he-IL"/>
        </w:rPr>
        <w:t>, היינו הגזעא, נציב את ה"ראיה בעלמא" עצמה</w:t>
      </w:r>
      <w:r w:rsidRPr="000A54A7">
        <w:rPr>
          <w:rFonts w:ascii="Times New Roman" w:eastAsia="Times New Roman" w:hAnsi="Times New Roman" w:cs="oprFrank"/>
          <w:noProof/>
          <w:position w:val="-5"/>
          <w:szCs w:val="27"/>
          <w:vertAlign w:val="superscript"/>
          <w:rtl/>
          <w:lang w:eastAsia="he-IL"/>
        </w:rPr>
        <w:footnoteReference w:id="1"/>
      </w:r>
      <w:r w:rsidRPr="000A54A7">
        <w:rPr>
          <w:rFonts w:ascii="Times New Roman" w:eastAsia="Times New Roman" w:hAnsi="Times New Roman" w:cs="oprFrank" w:hint="cs"/>
          <w:noProof/>
          <w:sz w:val="26"/>
          <w:szCs w:val="27"/>
          <w:rtl/>
          <w:lang w:eastAsia="he-IL"/>
        </w:rPr>
        <w:t xml:space="preserve">, בה עסקה הגמרא. </w:t>
      </w:r>
    </w:p>
    <w:p w:rsidR="000A54A7" w:rsidRPr="000A54A7" w:rsidRDefault="000A54A7" w:rsidP="000A54A7">
      <w:pPr>
        <w:spacing w:before="60"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כנגד השבילא, היינו הקוץ התחתון, הרוצה לחבור ולחדור ל-</w:t>
      </w:r>
      <w:r w:rsidRPr="000A54A7">
        <w:rPr>
          <w:rFonts w:ascii="Times New Roman" w:eastAsia="Times New Roman" w:hAnsi="Times New Roman" w:cs="MiriamMFO" w:hint="cs"/>
          <w:noProof/>
          <w:rtl/>
          <w:lang w:eastAsia="he-IL"/>
        </w:rPr>
        <w:t>ה</w:t>
      </w:r>
      <w:r w:rsidRPr="000A54A7">
        <w:rPr>
          <w:rFonts w:ascii="Times New Roman" w:eastAsia="Times New Roman" w:hAnsi="Times New Roman" w:cs="oprFrank" w:hint="cs"/>
          <w:noProof/>
          <w:sz w:val="26"/>
          <w:szCs w:val="27"/>
          <w:rtl/>
          <w:lang w:eastAsia="he-IL"/>
        </w:rPr>
        <w:t xml:space="preserve"> – זו שכנגדה ההבטה – נציב 'הסתכלות חזקה', אשר אז "אפשר שתעשה הראיה רושם חזק בנפש הרואה". אף אם ראיה כזאת אינה פועלת כשומרת (ולפיכך אין ניכרות ממנה תוצאות ממשיות), בכל זאת דומה היא להבטה בהיותה חשה עצמה כמעין פעולה בתוך העולם הממשי, אשר חשה אותו כשונה ממנה. החוזק מעיד כי אין כאן השתכנעות שדי בראיה אחרת על העולם כדי לגרום לו, לעולם, להיענות בדרך ממילא. </w:t>
      </w:r>
    </w:p>
    <w:p w:rsidR="000A54A7" w:rsidRPr="000A54A7" w:rsidRDefault="000A54A7" w:rsidP="000A54A7">
      <w:pPr>
        <w:spacing w:before="60"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 xml:space="preserve">כנגד הקוצא נשים מצב בלתי מודע ונטול מחשבה מפורשת </w:t>
      </w:r>
      <w:r w:rsidRPr="000A54A7">
        <w:rPr>
          <w:rFonts w:ascii="Times New Roman" w:eastAsia="Times New Roman" w:hAnsi="Times New Roman" w:cs="oprFrank" w:hint="eastAsia"/>
          <w:noProof/>
          <w:sz w:val="26"/>
          <w:szCs w:val="27"/>
          <w:rtl/>
          <w:lang w:eastAsia="he-IL"/>
        </w:rPr>
        <w:t xml:space="preserve">– </w:t>
      </w:r>
      <w:r w:rsidRPr="000A54A7">
        <w:rPr>
          <w:rFonts w:ascii="Times New Roman" w:eastAsia="Times New Roman" w:hAnsi="Times New Roman" w:cs="oprFrank" w:hint="cs"/>
          <w:noProof/>
          <w:sz w:val="26"/>
          <w:szCs w:val="27"/>
          <w:rtl/>
          <w:lang w:eastAsia="he-IL"/>
        </w:rPr>
        <w:t xml:space="preserve">"לפעמים יכולה הראיה לפעול גם אם אין השתתפות כח המחשבה בזה" – הוא המצב שבבואו לכלל מודעות יובהר לו ויושם על לבו כי כך וכך אני רוצה, וכך וכך מתאים לי, ולזה התכוונתי. </w:t>
      </w:r>
    </w:p>
    <w:p w:rsidR="000A54A7" w:rsidRPr="000A54A7" w:rsidRDefault="000A54A7" w:rsidP="000A54A7">
      <w:pPr>
        <w:spacing w:before="60"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 xml:space="preserve">אמנם יש ראיה רוחנית, למעלה משלש המדרגות הללו, כנגד חכמה סתימאה, וכנגד "עין השכל שבלב", היכן שהרצונות וההשכלות עוד לא תרגמו עצמם להתלבש בתמונות גשמיות ומוגדרות, בחינת "איהו לא חזי, מזליה חזי". </w:t>
      </w:r>
    </w:p>
    <w:p w:rsidR="000A54A7" w:rsidRPr="000A54A7" w:rsidRDefault="000A54A7" w:rsidP="000A54A7">
      <w:pPr>
        <w:spacing w:before="60" w:after="60" w:line="350" w:lineRule="exact"/>
        <w:jc w:val="both"/>
        <w:rPr>
          <w:rFonts w:ascii="Times New Roman" w:eastAsia="Times New Roman" w:hAnsi="Times New Roman" w:cs="oprFrank" w:hint="cs"/>
          <w:noProof/>
          <w:sz w:val="26"/>
          <w:szCs w:val="27"/>
          <w:rtl/>
          <w:lang w:eastAsia="he-IL"/>
        </w:rPr>
      </w:pPr>
      <w:r w:rsidRPr="000A54A7">
        <w:rPr>
          <w:rFonts w:ascii="Times New Roman" w:eastAsia="Times New Roman" w:hAnsi="Times New Roman" w:cs="oprFrank" w:hint="cs"/>
          <w:noProof/>
          <w:sz w:val="26"/>
          <w:szCs w:val="27"/>
          <w:rtl/>
          <w:lang w:eastAsia="he-IL"/>
        </w:rPr>
        <w:t>המעיין יראה שזיהינו בתוך הראיה עצמה נסתרות ונגלות, כנגד שם הוי', שהרי שתי הראיות העליונות נטולות מודעות של ה'אני' (והעליונה כלל אינה מודעת), ואילו בשתיים התחתונות קיימת מודעות של האני; בעליונה שביניהן הוא כמו משתתף בראיה שקורת ממילא, על ידי עוררות רצונו, ובתחתונה ה'אני' חש כמפעיל את הראיה</w:t>
      </w:r>
      <w:r w:rsidRPr="000A54A7">
        <w:rPr>
          <w:rFonts w:ascii="Times New Roman" w:eastAsia="Times New Roman" w:hAnsi="Times New Roman" w:cs="oprFrank"/>
          <w:noProof/>
          <w:position w:val="-5"/>
          <w:szCs w:val="27"/>
          <w:vertAlign w:val="superscript"/>
          <w:rtl/>
          <w:lang w:eastAsia="he-IL"/>
        </w:rPr>
        <w:footnoteReference w:id="2"/>
      </w:r>
      <w:r w:rsidRPr="000A54A7">
        <w:rPr>
          <w:rFonts w:ascii="Times New Roman" w:eastAsia="Times New Roman" w:hAnsi="Times New Roman" w:cs="oprFrank" w:hint="cs"/>
          <w:noProof/>
          <w:sz w:val="26"/>
          <w:szCs w:val="27"/>
          <w:rtl/>
          <w:lang w:eastAsia="he-IL"/>
        </w:rPr>
        <w:t>.</w:t>
      </w:r>
    </w:p>
    <w:p w:rsidR="005F4A47" w:rsidRDefault="00B71AB2">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AB2" w:rsidRDefault="00B71AB2" w:rsidP="000A54A7">
      <w:pPr>
        <w:spacing w:after="0" w:line="240" w:lineRule="auto"/>
      </w:pPr>
      <w:r>
        <w:separator/>
      </w:r>
    </w:p>
  </w:endnote>
  <w:endnote w:type="continuationSeparator" w:id="0">
    <w:p w:rsidR="00B71AB2" w:rsidRDefault="00B71AB2" w:rsidP="000A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AB2" w:rsidRDefault="00B71AB2" w:rsidP="000A54A7">
      <w:pPr>
        <w:spacing w:after="0" w:line="240" w:lineRule="auto"/>
      </w:pPr>
      <w:r>
        <w:separator/>
      </w:r>
    </w:p>
  </w:footnote>
  <w:footnote w:type="continuationSeparator" w:id="0">
    <w:p w:rsidR="00B71AB2" w:rsidRDefault="00B71AB2" w:rsidP="000A54A7">
      <w:pPr>
        <w:spacing w:after="0" w:line="240" w:lineRule="auto"/>
      </w:pPr>
      <w:r>
        <w:continuationSeparator/>
      </w:r>
    </w:p>
  </w:footnote>
  <w:footnote w:id="1">
    <w:p w:rsidR="000A54A7" w:rsidRPr="007A71EB" w:rsidRDefault="000A54A7" w:rsidP="000A54A7">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 xml:space="preserve">גם זו </w:t>
      </w:r>
      <w:proofErr w:type="spellStart"/>
      <w:r w:rsidRPr="007A71EB">
        <w:rPr>
          <w:rFonts w:hint="cs"/>
          <w:rtl/>
        </w:rPr>
        <w:t>הריהי</w:t>
      </w:r>
      <w:proofErr w:type="spellEnd"/>
      <w:r w:rsidRPr="007A71EB">
        <w:rPr>
          <w:rFonts w:hint="cs"/>
          <w:rtl/>
        </w:rPr>
        <w:t xml:space="preserve"> ראיה שכוללת רצון לשייך את החפץ אלי, וכאמור, יש ראיה שהיא אף יותר מרחפת מזאת, ראה הערות </w:t>
      </w:r>
      <w:r w:rsidRPr="007A71EB">
        <w:rPr>
          <w:rtl/>
        </w:rPr>
        <w:fldChar w:fldCharType="begin"/>
      </w:r>
      <w:r w:rsidRPr="007A71EB">
        <w:rPr>
          <w:rtl/>
        </w:rPr>
        <w:instrText xml:space="preserve"> </w:instrText>
      </w:r>
      <w:r w:rsidRPr="007A71EB">
        <w:rPr>
          <w:rFonts w:hint="cs"/>
        </w:rPr>
        <w:instrText>NOTEREF</w:instrText>
      </w:r>
      <w:r w:rsidRPr="007A71EB">
        <w:rPr>
          <w:rFonts w:hint="cs"/>
          <w:rtl/>
        </w:rPr>
        <w:instrText xml:space="preserve"> _</w:instrText>
      </w:r>
      <w:r w:rsidRPr="007A71EB">
        <w:rPr>
          <w:rFonts w:hint="cs"/>
        </w:rPr>
        <w:instrText>Ref251182657 \h</w:instrText>
      </w:r>
      <w:r w:rsidRPr="007A71EB">
        <w:rPr>
          <w:rtl/>
        </w:rPr>
        <w:instrText xml:space="preserve"> </w:instrText>
      </w:r>
      <w:r w:rsidRPr="007A71EB">
        <w:rPr>
          <w:rtl/>
        </w:rPr>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proofErr w:type="spellStart"/>
      <w:r>
        <w:rPr>
          <w:rtl/>
        </w:rPr>
        <w:t>כג</w:t>
      </w:r>
      <w:proofErr w:type="spellEnd"/>
      <w:r w:rsidRPr="007A71EB">
        <w:rPr>
          <w:rtl/>
        </w:rPr>
        <w:fldChar w:fldCharType="end"/>
      </w:r>
      <w:r w:rsidRPr="007A71EB">
        <w:rPr>
          <w:rFonts w:hint="cs"/>
          <w:rtl/>
        </w:rPr>
        <w:t xml:space="preserve"> ו-</w:t>
      </w:r>
      <w:proofErr w:type="spellStart"/>
      <w:r w:rsidRPr="007A71EB">
        <w:rPr>
          <w:rtl/>
        </w:rPr>
        <w:fldChar w:fldCharType="begin"/>
      </w:r>
      <w:r w:rsidRPr="007A71EB">
        <w:rPr>
          <w:rtl/>
        </w:rPr>
        <w:instrText xml:space="preserve"> </w:instrText>
      </w:r>
      <w:r w:rsidRPr="007A71EB">
        <w:rPr>
          <w:rFonts w:hint="cs"/>
        </w:rPr>
        <w:instrText>NOTEREF</w:instrText>
      </w:r>
      <w:r w:rsidRPr="007A71EB">
        <w:rPr>
          <w:rFonts w:hint="cs"/>
          <w:rtl/>
        </w:rPr>
        <w:instrText xml:space="preserve"> _</w:instrText>
      </w:r>
      <w:r w:rsidRPr="007A71EB">
        <w:rPr>
          <w:rFonts w:hint="cs"/>
        </w:rPr>
        <w:instrText>Ref251184915 \h</w:instrText>
      </w:r>
      <w:r w:rsidRPr="007A71EB">
        <w:rPr>
          <w:rtl/>
        </w:rPr>
        <w:instrText xml:space="preserve"> </w:instrText>
      </w:r>
      <w:r w:rsidRPr="007A71EB">
        <w:rPr>
          <w:rtl/>
        </w:rPr>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כט</w:t>
      </w:r>
      <w:proofErr w:type="spellEnd"/>
      <w:r w:rsidRPr="007A71EB">
        <w:rPr>
          <w:rtl/>
        </w:rPr>
        <w:fldChar w:fldCharType="end"/>
      </w:r>
      <w:r w:rsidRPr="007A71EB">
        <w:rPr>
          <w:rFonts w:hint="cs"/>
          <w:rtl/>
        </w:rPr>
        <w:t>.</w:t>
      </w:r>
    </w:p>
  </w:footnote>
  <w:footnote w:id="2">
    <w:p w:rsidR="000A54A7" w:rsidRPr="007A71EB" w:rsidRDefault="000A54A7" w:rsidP="000A54A7">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בעקבות</w:t>
      </w:r>
      <w:r w:rsidRPr="00CE4A7C">
        <w:rPr>
          <w:rFonts w:hint="cs"/>
          <w:spacing w:val="-6"/>
          <w:rtl/>
        </w:rPr>
        <w:t xml:space="preserve"> </w:t>
      </w:r>
      <w:r w:rsidRPr="007A71EB">
        <w:rPr>
          <w:rFonts w:hint="cs"/>
          <w:rtl/>
        </w:rPr>
        <w:t>ההערה</w:t>
      </w:r>
      <w:r w:rsidRPr="00CE4A7C">
        <w:rPr>
          <w:rFonts w:hint="cs"/>
          <w:spacing w:val="-6"/>
          <w:rtl/>
        </w:rPr>
        <w:t xml:space="preserve"> </w:t>
      </w:r>
      <w:r w:rsidRPr="007A71EB">
        <w:rPr>
          <w:rFonts w:hint="cs"/>
          <w:rtl/>
        </w:rPr>
        <w:t>הקודמת:</w:t>
      </w:r>
      <w:r w:rsidRPr="00CE4A7C">
        <w:rPr>
          <w:rFonts w:hint="cs"/>
          <w:spacing w:val="-6"/>
          <w:rtl/>
        </w:rPr>
        <w:t xml:space="preserve"> </w:t>
      </w:r>
      <w:r w:rsidRPr="007A71EB">
        <w:rPr>
          <w:rFonts w:hint="cs"/>
          <w:rtl/>
        </w:rPr>
        <w:t>הראיה</w:t>
      </w:r>
      <w:r w:rsidRPr="00CE4A7C">
        <w:rPr>
          <w:rFonts w:hint="cs"/>
          <w:spacing w:val="-6"/>
          <w:rtl/>
        </w:rPr>
        <w:t xml:space="preserve"> </w:t>
      </w:r>
      <w:r w:rsidRPr="007A71EB">
        <w:rPr>
          <w:rFonts w:hint="cs"/>
          <w:rtl/>
        </w:rPr>
        <w:t>העליונה,</w:t>
      </w:r>
      <w:r w:rsidRPr="00CE4A7C">
        <w:rPr>
          <w:rFonts w:hint="cs"/>
          <w:spacing w:val="-6"/>
          <w:rtl/>
        </w:rPr>
        <w:t xml:space="preserve"> </w:t>
      </w:r>
      <w:r w:rsidRPr="007A71EB">
        <w:rPr>
          <w:rFonts w:hint="cs"/>
          <w:rtl/>
        </w:rPr>
        <w:t>הבלתי</w:t>
      </w:r>
      <w:r w:rsidRPr="00CE4A7C">
        <w:rPr>
          <w:rFonts w:hint="cs"/>
          <w:spacing w:val="-6"/>
          <w:rtl/>
        </w:rPr>
        <w:t xml:space="preserve"> </w:t>
      </w:r>
      <w:r w:rsidRPr="007A71EB">
        <w:rPr>
          <w:rFonts w:hint="cs"/>
          <w:rtl/>
        </w:rPr>
        <w:t>נודעת,</w:t>
      </w:r>
      <w:r w:rsidRPr="00CE4A7C">
        <w:rPr>
          <w:rFonts w:hint="cs"/>
          <w:spacing w:val="-6"/>
          <w:rtl/>
        </w:rPr>
        <w:t xml:space="preserve"> </w:t>
      </w:r>
      <w:r w:rsidRPr="007A71EB">
        <w:rPr>
          <w:rFonts w:hint="cs"/>
          <w:rtl/>
        </w:rPr>
        <w:t>מקורה</w:t>
      </w:r>
      <w:r w:rsidRPr="00CE4A7C">
        <w:rPr>
          <w:rFonts w:hint="cs"/>
          <w:spacing w:val="-6"/>
          <w:rtl/>
        </w:rPr>
        <w:t xml:space="preserve"> </w:t>
      </w:r>
      <w:r w:rsidRPr="007A71EB">
        <w:rPr>
          <w:rFonts w:hint="cs"/>
          <w:rtl/>
        </w:rPr>
        <w:t>בכתר.</w:t>
      </w:r>
      <w:r w:rsidRPr="00CE4A7C">
        <w:rPr>
          <w:rFonts w:hint="cs"/>
          <w:spacing w:val="-6"/>
          <w:rtl/>
        </w:rPr>
        <w:t xml:space="preserve"> </w:t>
      </w:r>
      <w:r w:rsidRPr="007A71EB">
        <w:rPr>
          <w:rFonts w:hint="cs"/>
          <w:rtl/>
        </w:rPr>
        <w:t>זו</w:t>
      </w:r>
      <w:r w:rsidRPr="00CE4A7C">
        <w:rPr>
          <w:rFonts w:hint="cs"/>
          <w:spacing w:val="-6"/>
          <w:rtl/>
        </w:rPr>
        <w:t xml:space="preserve"> </w:t>
      </w:r>
      <w:r w:rsidRPr="007A71EB">
        <w:rPr>
          <w:rFonts w:hint="cs"/>
          <w:rtl/>
        </w:rPr>
        <w:t>הנודעת,</w:t>
      </w:r>
      <w:r w:rsidRPr="00CE4A7C">
        <w:rPr>
          <w:rFonts w:hint="cs"/>
          <w:spacing w:val="-6"/>
          <w:rtl/>
        </w:rPr>
        <w:t xml:space="preserve"> </w:t>
      </w:r>
      <w:r w:rsidRPr="007A71EB">
        <w:rPr>
          <w:rFonts w:hint="cs"/>
          <w:rtl/>
        </w:rPr>
        <w:t>אבל</w:t>
      </w:r>
      <w:r w:rsidRPr="00CE4A7C">
        <w:rPr>
          <w:rFonts w:hint="cs"/>
          <w:spacing w:val="-6"/>
          <w:rtl/>
        </w:rPr>
        <w:t xml:space="preserve"> </w:t>
      </w:r>
      <w:r w:rsidRPr="007A71EB">
        <w:rPr>
          <w:rFonts w:hint="cs"/>
          <w:rtl/>
        </w:rPr>
        <w:t>נטולת</w:t>
      </w:r>
      <w:r w:rsidRPr="00CE4A7C">
        <w:rPr>
          <w:rFonts w:hint="cs"/>
          <w:spacing w:val="-6"/>
          <w:rtl/>
        </w:rPr>
        <w:t xml:space="preserve"> </w:t>
      </w:r>
      <w:r w:rsidRPr="007A71EB">
        <w:rPr>
          <w:rFonts w:hint="cs"/>
          <w:rtl/>
        </w:rPr>
        <w:t>מודעות,</w:t>
      </w:r>
      <w:r w:rsidRPr="00CE4A7C">
        <w:rPr>
          <w:rFonts w:hint="cs"/>
          <w:spacing w:val="-6"/>
          <w:rtl/>
        </w:rPr>
        <w:t xml:space="preserve"> </w:t>
      </w:r>
      <w:r w:rsidRPr="007A71EB">
        <w:rPr>
          <w:rFonts w:hint="cs"/>
          <w:rtl/>
        </w:rPr>
        <w:t>מקורה</w:t>
      </w:r>
      <w:r w:rsidRPr="00CE4A7C">
        <w:rPr>
          <w:rFonts w:hint="cs"/>
          <w:spacing w:val="-6"/>
          <w:rtl/>
        </w:rPr>
        <w:t xml:space="preserve"> </w:t>
      </w:r>
      <w:r w:rsidRPr="007A71EB">
        <w:rPr>
          <w:rFonts w:hint="cs"/>
          <w:rtl/>
        </w:rPr>
        <w:t>באבא</w:t>
      </w:r>
      <w:r w:rsidRPr="00CE4A7C">
        <w:rPr>
          <w:rFonts w:hint="cs"/>
          <w:spacing w:val="-6"/>
          <w:rtl/>
        </w:rPr>
        <w:t xml:space="preserve"> </w:t>
      </w:r>
      <w:proofErr w:type="spellStart"/>
      <w:r w:rsidRPr="007A71EB">
        <w:rPr>
          <w:rFonts w:hint="cs"/>
          <w:rtl/>
        </w:rPr>
        <w:t>עילאה</w:t>
      </w:r>
      <w:proofErr w:type="spellEnd"/>
      <w:r w:rsidRPr="007A71EB">
        <w:rPr>
          <w:rFonts w:hint="cs"/>
          <w:rtl/>
        </w:rPr>
        <w:t>.</w:t>
      </w:r>
      <w:r w:rsidRPr="00CE4A7C">
        <w:rPr>
          <w:rFonts w:hint="cs"/>
          <w:spacing w:val="-6"/>
          <w:rtl/>
        </w:rPr>
        <w:t xml:space="preserve"> </w:t>
      </w:r>
      <w:r w:rsidRPr="007A71EB">
        <w:rPr>
          <w:rFonts w:hint="cs"/>
          <w:rtl/>
        </w:rPr>
        <w:t>זו</w:t>
      </w:r>
      <w:r w:rsidRPr="00CE4A7C">
        <w:rPr>
          <w:rFonts w:hint="cs"/>
          <w:spacing w:val="-6"/>
          <w:rtl/>
        </w:rPr>
        <w:t xml:space="preserve"> </w:t>
      </w:r>
      <w:r w:rsidRPr="007A71EB">
        <w:rPr>
          <w:rFonts w:hint="cs"/>
          <w:rtl/>
        </w:rPr>
        <w:t>שיש</w:t>
      </w:r>
      <w:r w:rsidRPr="00CE4A7C">
        <w:rPr>
          <w:rFonts w:hint="cs"/>
          <w:spacing w:val="-6"/>
          <w:rtl/>
        </w:rPr>
        <w:t xml:space="preserve"> </w:t>
      </w:r>
      <w:r w:rsidRPr="007A71EB">
        <w:rPr>
          <w:rFonts w:hint="cs"/>
          <w:rtl/>
        </w:rPr>
        <w:t>בה</w:t>
      </w:r>
      <w:r w:rsidRPr="00CE4A7C">
        <w:rPr>
          <w:rFonts w:hint="cs"/>
          <w:spacing w:val="-6"/>
          <w:rtl/>
        </w:rPr>
        <w:t xml:space="preserve"> </w:t>
      </w:r>
      <w:r w:rsidRPr="007A71EB">
        <w:rPr>
          <w:rFonts w:hint="cs"/>
          <w:rtl/>
        </w:rPr>
        <w:t>רצון</w:t>
      </w:r>
      <w:r w:rsidRPr="00CE4A7C">
        <w:rPr>
          <w:rFonts w:hint="cs"/>
          <w:spacing w:val="-6"/>
          <w:rtl/>
        </w:rPr>
        <w:t xml:space="preserve"> </w:t>
      </w:r>
      <w:proofErr w:type="spellStart"/>
      <w:r w:rsidRPr="007A71EB">
        <w:rPr>
          <w:rFonts w:hint="cs"/>
          <w:rtl/>
        </w:rPr>
        <w:t>הריהי</w:t>
      </w:r>
      <w:proofErr w:type="spellEnd"/>
      <w:r w:rsidRPr="00CE4A7C">
        <w:rPr>
          <w:rFonts w:hint="cs"/>
          <w:spacing w:val="-6"/>
          <w:rtl/>
        </w:rPr>
        <w:t xml:space="preserve"> </w:t>
      </w:r>
      <w:r w:rsidRPr="007A71EB">
        <w:rPr>
          <w:rFonts w:hint="cs"/>
          <w:rtl/>
        </w:rPr>
        <w:t>חכמה</w:t>
      </w:r>
      <w:r w:rsidRPr="00CE4A7C">
        <w:rPr>
          <w:rFonts w:hint="cs"/>
          <w:spacing w:val="-6"/>
          <w:rtl/>
        </w:rPr>
        <w:t xml:space="preserve"> </w:t>
      </w:r>
      <w:proofErr w:type="spellStart"/>
      <w:r w:rsidRPr="007A71EB">
        <w:rPr>
          <w:rFonts w:hint="cs"/>
          <w:rtl/>
        </w:rPr>
        <w:t>שבאמא</w:t>
      </w:r>
      <w:proofErr w:type="spellEnd"/>
      <w:r w:rsidRPr="00CE4A7C">
        <w:rPr>
          <w:rFonts w:hint="cs"/>
          <w:spacing w:val="-6"/>
          <w:rtl/>
        </w:rPr>
        <w:t xml:space="preserve"> </w:t>
      </w:r>
      <w:proofErr w:type="spellStart"/>
      <w:r w:rsidRPr="007A71EB">
        <w:rPr>
          <w:rFonts w:hint="cs"/>
          <w:rtl/>
        </w:rPr>
        <w:t>עילאה</w:t>
      </w:r>
      <w:proofErr w:type="spellEnd"/>
      <w:r w:rsidRPr="007A71EB">
        <w:rPr>
          <w:rFonts w:hint="cs"/>
          <w:rtl/>
        </w:rPr>
        <w:t>,</w:t>
      </w:r>
      <w:r w:rsidRPr="00CE4A7C">
        <w:rPr>
          <w:rFonts w:hint="cs"/>
          <w:spacing w:val="-6"/>
          <w:rtl/>
        </w:rPr>
        <w:t xml:space="preserve"> </w:t>
      </w:r>
      <w:r w:rsidRPr="007A71EB">
        <w:rPr>
          <w:rFonts w:hint="cs"/>
          <w:rtl/>
        </w:rPr>
        <w:t>וזאת</w:t>
      </w:r>
      <w:r w:rsidRPr="00CE4A7C">
        <w:rPr>
          <w:rFonts w:hint="cs"/>
          <w:spacing w:val="-6"/>
          <w:rtl/>
        </w:rPr>
        <w:t xml:space="preserve"> </w:t>
      </w:r>
      <w:r w:rsidRPr="007A71EB">
        <w:rPr>
          <w:rFonts w:hint="cs"/>
          <w:rtl/>
        </w:rPr>
        <w:t>שמביטה</w:t>
      </w:r>
      <w:r w:rsidRPr="00CE4A7C">
        <w:rPr>
          <w:rFonts w:hint="cs"/>
          <w:spacing w:val="-6"/>
          <w:rtl/>
        </w:rPr>
        <w:t xml:space="preserve"> </w:t>
      </w:r>
      <w:r w:rsidRPr="007A71EB">
        <w:rPr>
          <w:rFonts w:hint="cs"/>
          <w:rtl/>
        </w:rPr>
        <w:t>בתשומת</w:t>
      </w:r>
      <w:r w:rsidRPr="00CE4A7C">
        <w:rPr>
          <w:rFonts w:hint="cs"/>
          <w:spacing w:val="-6"/>
          <w:rtl/>
        </w:rPr>
        <w:t xml:space="preserve"> </w:t>
      </w:r>
      <w:r w:rsidRPr="007A71EB">
        <w:rPr>
          <w:rFonts w:hint="cs"/>
          <w:rtl/>
        </w:rPr>
        <w:t>לב</w:t>
      </w:r>
      <w:r w:rsidRPr="00CE4A7C">
        <w:rPr>
          <w:rFonts w:hint="cs"/>
          <w:spacing w:val="-6"/>
          <w:rtl/>
        </w:rPr>
        <w:t xml:space="preserve"> </w:t>
      </w:r>
      <w:r w:rsidRPr="007A71EB">
        <w:rPr>
          <w:rFonts w:hint="cs"/>
          <w:rtl/>
        </w:rPr>
        <w:t>מקורה</w:t>
      </w:r>
      <w:r w:rsidRPr="00CE4A7C">
        <w:rPr>
          <w:rFonts w:hint="cs"/>
          <w:spacing w:val="-6"/>
          <w:rtl/>
        </w:rPr>
        <w:t xml:space="preserve"> </w:t>
      </w:r>
      <w:r w:rsidRPr="007A71EB">
        <w:rPr>
          <w:rFonts w:hint="cs"/>
          <w:rtl/>
        </w:rPr>
        <w:t>בבינה</w:t>
      </w:r>
      <w:r w:rsidRPr="00CE4A7C">
        <w:rPr>
          <w:rFonts w:hint="cs"/>
          <w:spacing w:val="-6"/>
          <w:rtl/>
        </w:rPr>
        <w:t xml:space="preserve"> </w:t>
      </w:r>
      <w:proofErr w:type="spellStart"/>
      <w:r w:rsidRPr="007A71EB">
        <w:rPr>
          <w:rFonts w:hint="cs"/>
          <w:rtl/>
        </w:rPr>
        <w:t>שבאמא</w:t>
      </w:r>
      <w:proofErr w:type="spellEnd"/>
      <w:r w:rsidRPr="00CE4A7C">
        <w:rPr>
          <w:rFonts w:hint="cs"/>
          <w:spacing w:val="-6"/>
          <w:rtl/>
        </w:rPr>
        <w:t xml:space="preserve"> </w:t>
      </w:r>
      <w:proofErr w:type="spellStart"/>
      <w:r w:rsidRPr="007A71EB">
        <w:rPr>
          <w:rFonts w:hint="cs"/>
          <w:rtl/>
        </w:rPr>
        <w:t>עילאה</w:t>
      </w:r>
      <w:proofErr w:type="spellEnd"/>
      <w:r w:rsidRPr="007A71EB">
        <w:rPr>
          <w:rFonts w:hint="cs"/>
          <w:rtl/>
        </w:rPr>
        <w:t>.</w:t>
      </w:r>
      <w:r w:rsidRPr="00CE4A7C">
        <w:rPr>
          <w:rFonts w:hint="cs"/>
          <w:spacing w:val="-6"/>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4E"/>
    <w:rsid w:val="00061E65"/>
    <w:rsid w:val="000A54A7"/>
    <w:rsid w:val="00AC2310"/>
    <w:rsid w:val="00B71AB2"/>
    <w:rsid w:val="00C61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A54A7"/>
    <w:pPr>
      <w:spacing w:after="0" w:line="240" w:lineRule="auto"/>
    </w:pPr>
    <w:rPr>
      <w:sz w:val="20"/>
      <w:szCs w:val="20"/>
    </w:rPr>
  </w:style>
  <w:style w:type="character" w:customStyle="1" w:styleId="a4">
    <w:name w:val="טקסט הערת שוליים תו"/>
    <w:basedOn w:val="a0"/>
    <w:link w:val="a3"/>
    <w:uiPriority w:val="99"/>
    <w:semiHidden/>
    <w:rsid w:val="000A54A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A54A7"/>
    <w:pPr>
      <w:spacing w:after="0" w:line="240" w:lineRule="auto"/>
    </w:pPr>
    <w:rPr>
      <w:sz w:val="20"/>
      <w:szCs w:val="20"/>
    </w:rPr>
  </w:style>
  <w:style w:type="character" w:customStyle="1" w:styleId="a4">
    <w:name w:val="טקסט הערת שוליים תו"/>
    <w:basedOn w:val="a0"/>
    <w:link w:val="a3"/>
    <w:uiPriority w:val="99"/>
    <w:semiHidden/>
    <w:rsid w:val="000A54A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1154</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2017-07-12T11:01:00Z</dcterms:created>
  <dcterms:modified xsi:type="dcterms:W3CDTF">2017-07-12T11:01:00Z</dcterms:modified>
</cp:coreProperties>
</file>