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B0A" w:rsidRPr="001C2B0A" w:rsidRDefault="001C2B0A" w:rsidP="001C2B0A">
      <w:pPr>
        <w:keepNext/>
        <w:spacing w:before="240" w:after="240" w:line="480" w:lineRule="exact"/>
        <w:jc w:val="center"/>
        <w:outlineLvl w:val="1"/>
        <w:rPr>
          <w:rFonts w:ascii="Times New Roman" w:eastAsia="Times New Roman" w:hAnsi="Times New Roman" w:cs="IW_Shalom" w:hint="cs"/>
          <w:b/>
          <w:noProof/>
          <w:sz w:val="42"/>
          <w:szCs w:val="40"/>
          <w:rtl/>
          <w:lang w:eastAsia="he-IL"/>
        </w:rPr>
      </w:pPr>
      <w:bookmarkStart w:id="0" w:name="_Ref81149113"/>
      <w:bookmarkStart w:id="1" w:name="_Toc195594337"/>
      <w:bookmarkStart w:id="2" w:name="_Toc195594840"/>
      <w:bookmarkStart w:id="3" w:name="_Toc254800184"/>
      <w:bookmarkStart w:id="4" w:name="_Toc254802091"/>
      <w:r w:rsidRPr="001C2B0A">
        <w:rPr>
          <w:rFonts w:ascii="Times New Roman" w:eastAsia="Times New Roman" w:hAnsi="Times New Roman" w:cs="IW_Shalom" w:hint="cs"/>
          <w:b/>
          <w:noProof/>
          <w:sz w:val="42"/>
          <w:szCs w:val="40"/>
          <w:rtl/>
          <w:lang w:eastAsia="he-IL"/>
        </w:rPr>
        <w:t>הקדמה</w:t>
      </w:r>
      <w:bookmarkEnd w:id="0"/>
      <w:bookmarkEnd w:id="1"/>
      <w:bookmarkEnd w:id="2"/>
      <w:bookmarkEnd w:id="3"/>
      <w:bookmarkEnd w:id="4"/>
    </w:p>
    <w:p w:rsidR="001C2B0A" w:rsidRPr="001C2B0A" w:rsidRDefault="001C2B0A" w:rsidP="001C2B0A">
      <w:pPr>
        <w:spacing w:before="60" w:after="60" w:line="360" w:lineRule="exact"/>
        <w:ind w:left="720"/>
        <w:contextualSpacing/>
        <w:jc w:val="both"/>
        <w:rPr>
          <w:rFonts w:ascii="Times New Roman" w:eastAsia="Times New Roman" w:hAnsi="Times New Roman" w:cs="Guttman Vilna"/>
          <w:noProof/>
          <w:sz w:val="20"/>
          <w:szCs w:val="21"/>
          <w:rtl/>
          <w:lang w:eastAsia="he-IL"/>
        </w:rPr>
      </w:pPr>
      <w:r w:rsidRPr="001C2B0A">
        <w:rPr>
          <w:rFonts w:ascii="Times New Roman" w:eastAsia="Times New Roman" w:hAnsi="Times New Roman" w:cs="Guttman Vilna"/>
          <w:noProof/>
          <w:sz w:val="20"/>
          <w:szCs w:val="21"/>
          <w:rtl/>
          <w:lang w:eastAsia="he-IL"/>
        </w:rPr>
        <w:t>רבי שמעון אומר</w:t>
      </w:r>
      <w:r w:rsidRPr="001C2B0A">
        <w:rPr>
          <w:rFonts w:ascii="Times New Roman" w:eastAsia="Times New Roman" w:hAnsi="Times New Roman" w:cs="Guttman Vilna" w:hint="cs"/>
          <w:noProof/>
          <w:sz w:val="20"/>
          <w:szCs w:val="21"/>
          <w:rtl/>
          <w:lang w:eastAsia="he-IL"/>
        </w:rPr>
        <w:t>:</w:t>
      </w:r>
      <w:r w:rsidRPr="001C2B0A">
        <w:rPr>
          <w:rFonts w:ascii="Times New Roman" w:eastAsia="Times New Roman" w:hAnsi="Times New Roman" w:cs="Guttman Vilna"/>
          <w:noProof/>
          <w:sz w:val="20"/>
          <w:szCs w:val="21"/>
          <w:rtl/>
          <w:lang w:eastAsia="he-IL"/>
        </w:rPr>
        <w:t xml:space="preserve"> שלשה כתרים הם, כתר תורה וכתר כהנה וכתר מלכות, וכתר שם טוב עולה על גביהן</w:t>
      </w:r>
      <w:r w:rsidRPr="001C2B0A">
        <w:rPr>
          <w:rFonts w:ascii="Times New Roman" w:eastAsia="Times New Roman" w:hAnsi="Times New Roman" w:cs="Guttman Vilna" w:hint="cs"/>
          <w:noProof/>
          <w:sz w:val="20"/>
          <w:szCs w:val="21"/>
          <w:rtl/>
          <w:lang w:eastAsia="he-IL"/>
        </w:rPr>
        <w:t xml:space="preserve"> (אבות ד, יג).</w:t>
      </w:r>
    </w:p>
    <w:p w:rsidR="001C2B0A" w:rsidRPr="001C2B0A" w:rsidRDefault="001C2B0A" w:rsidP="001C2B0A">
      <w:pPr>
        <w:spacing w:before="60" w:after="60" w:line="350" w:lineRule="exact"/>
        <w:jc w:val="both"/>
        <w:rPr>
          <w:rFonts w:ascii="Times New Roman" w:eastAsia="Times New Roman" w:hAnsi="Times New Roman" w:cs="oprFrank"/>
          <w:noProof/>
          <w:sz w:val="24"/>
          <w:szCs w:val="27"/>
          <w:rtl/>
          <w:lang w:eastAsia="he-IL"/>
        </w:rPr>
      </w:pPr>
      <w:r w:rsidRPr="001C2B0A">
        <w:rPr>
          <w:rFonts w:ascii="Times New Roman" w:eastAsia="Times New Roman" w:hAnsi="Times New Roman" w:cs="oprFrank" w:hint="cs"/>
          <w:noProof/>
          <w:sz w:val="24"/>
          <w:szCs w:val="27"/>
          <w:rtl/>
          <w:lang w:eastAsia="he-IL"/>
        </w:rPr>
        <w:t xml:space="preserve">בספר נאספו מאמרים שבאים ללבן, בעקבות הגמרא, הפוסקים ומפרשי התורה, סוגיות שבעזרתן ניתן לאפיין את הסמכויות בישראל – סנהדרין, מלך וכהן גדול </w:t>
      </w:r>
      <w:r w:rsidRPr="001C2B0A">
        <w:rPr>
          <w:rFonts w:ascii="Times New Roman" w:eastAsia="Times New Roman" w:hAnsi="Times New Roman" w:cs="oprFrank" w:hint="eastAsia"/>
          <w:noProof/>
          <w:sz w:val="24"/>
          <w:szCs w:val="27"/>
          <w:rtl/>
          <w:lang w:eastAsia="he-IL"/>
        </w:rPr>
        <w:t>–</w:t>
      </w:r>
      <w:r w:rsidRPr="001C2B0A">
        <w:rPr>
          <w:rFonts w:ascii="Times New Roman" w:eastAsia="Times New Roman" w:hAnsi="Times New Roman" w:cs="oprFrank" w:hint="cs"/>
          <w:noProof/>
          <w:sz w:val="24"/>
          <w:szCs w:val="27"/>
          <w:rtl/>
          <w:lang w:eastAsia="he-IL"/>
        </w:rPr>
        <w:t xml:space="preserve"> ואת היחסים ביניהן.</w:t>
      </w:r>
    </w:p>
    <w:p w:rsidR="001C2B0A" w:rsidRPr="001C2B0A" w:rsidRDefault="001C2B0A" w:rsidP="001C2B0A">
      <w:pPr>
        <w:spacing w:before="60" w:after="60" w:line="350" w:lineRule="exact"/>
        <w:jc w:val="both"/>
        <w:rPr>
          <w:rFonts w:ascii="Times New Roman" w:eastAsia="Times New Roman" w:hAnsi="Times New Roman" w:cs="oprFrank"/>
          <w:noProof/>
          <w:sz w:val="24"/>
          <w:szCs w:val="27"/>
          <w:rtl/>
          <w:lang w:eastAsia="he-IL"/>
        </w:rPr>
      </w:pPr>
      <w:r w:rsidRPr="001C2B0A">
        <w:rPr>
          <w:rFonts w:ascii="Times New Roman" w:eastAsia="Times New Roman" w:hAnsi="Times New Roman" w:cs="oprFrank" w:hint="cs"/>
          <w:noProof/>
          <w:sz w:val="24"/>
          <w:szCs w:val="27"/>
          <w:rtl/>
          <w:lang w:eastAsia="he-IL"/>
        </w:rPr>
        <w:t xml:space="preserve">המאמר הראשון </w:t>
      </w:r>
      <w:r w:rsidRPr="001C2B0A">
        <w:rPr>
          <w:rFonts w:ascii="Times New Roman" w:eastAsia="Times New Roman" w:hAnsi="Times New Roman" w:cs="oprFrank"/>
          <w:noProof/>
          <w:sz w:val="24"/>
          <w:szCs w:val="27"/>
          <w:rtl/>
          <w:lang w:eastAsia="he-IL"/>
        </w:rPr>
        <w:t>–</w:t>
      </w:r>
      <w:r w:rsidRPr="001C2B0A">
        <w:rPr>
          <w:rFonts w:ascii="Times New Roman" w:eastAsia="Times New Roman" w:hAnsi="Times New Roman" w:cs="oprFrank" w:hint="eastAsia"/>
          <w:noProof/>
          <w:sz w:val="24"/>
          <w:szCs w:val="27"/>
          <w:rtl/>
          <w:lang w:eastAsia="he-IL"/>
        </w:rPr>
        <w:t xml:space="preserve"> </w:t>
      </w:r>
      <w:r w:rsidRPr="001C2B0A">
        <w:rPr>
          <w:rFonts w:ascii="Times New Roman" w:eastAsia="Times New Roman" w:hAnsi="Times New Roman" w:cs="oprFrank" w:hint="cs"/>
          <w:noProof/>
          <w:sz w:val="24"/>
          <w:szCs w:val="27"/>
          <w:rtl/>
          <w:lang w:eastAsia="he-IL"/>
        </w:rPr>
        <w:t xml:space="preserve">"ממון המוטל בספק" </w:t>
      </w:r>
      <w:r w:rsidRPr="001C2B0A">
        <w:rPr>
          <w:rFonts w:ascii="Times New Roman" w:eastAsia="Times New Roman" w:hAnsi="Times New Roman" w:cs="oprFrank"/>
          <w:noProof/>
          <w:sz w:val="24"/>
          <w:szCs w:val="27"/>
          <w:rtl/>
          <w:lang w:eastAsia="he-IL"/>
        </w:rPr>
        <w:t>–</w:t>
      </w:r>
      <w:r w:rsidRPr="001C2B0A">
        <w:rPr>
          <w:rFonts w:ascii="Times New Roman" w:eastAsia="Times New Roman" w:hAnsi="Times New Roman" w:cs="oprFrank" w:hint="cs"/>
          <w:noProof/>
          <w:sz w:val="24"/>
          <w:szCs w:val="27"/>
          <w:rtl/>
          <w:lang w:eastAsia="he-IL"/>
        </w:rPr>
        <w:t xml:space="preserve"> </w:t>
      </w:r>
      <w:r w:rsidRPr="001C2B0A">
        <w:rPr>
          <w:rFonts w:ascii="Times New Roman" w:eastAsia="Times New Roman" w:hAnsi="Times New Roman" w:cs="oprFrank" w:hint="eastAsia"/>
          <w:noProof/>
          <w:sz w:val="24"/>
          <w:szCs w:val="27"/>
          <w:rtl/>
          <w:lang w:eastAsia="he-IL"/>
        </w:rPr>
        <w:t xml:space="preserve">הסובב סביב משנת שנים אוחזין </w:t>
      </w:r>
      <w:r w:rsidRPr="001C2B0A">
        <w:rPr>
          <w:rFonts w:ascii="Times New Roman" w:eastAsia="Times New Roman" w:hAnsi="Times New Roman" w:cs="oprFrank" w:hint="cs"/>
          <w:noProof/>
          <w:sz w:val="24"/>
          <w:szCs w:val="27"/>
          <w:rtl/>
          <w:lang w:eastAsia="he-IL"/>
        </w:rPr>
        <w:t xml:space="preserve">שבראש מסכת בבא מציעא </w:t>
      </w:r>
      <w:r w:rsidRPr="001C2B0A">
        <w:rPr>
          <w:rFonts w:ascii="Times New Roman" w:eastAsia="Times New Roman" w:hAnsi="Times New Roman" w:cs="oprFrank" w:hint="eastAsia"/>
          <w:noProof/>
          <w:sz w:val="24"/>
          <w:szCs w:val="27"/>
          <w:rtl/>
          <w:lang w:eastAsia="he-IL"/>
        </w:rPr>
        <w:t xml:space="preserve">– </w:t>
      </w:r>
      <w:r w:rsidRPr="001C2B0A">
        <w:rPr>
          <w:rFonts w:ascii="Times New Roman" w:eastAsia="Times New Roman" w:hAnsi="Times New Roman" w:cs="oprFrank" w:hint="cs"/>
          <w:noProof/>
          <w:sz w:val="24"/>
          <w:szCs w:val="27"/>
          <w:rtl/>
          <w:lang w:eastAsia="he-IL"/>
        </w:rPr>
        <w:t>מיוסד על דברי רבינו ירוחם שסיכם ששה חילוקים בממון המוטל בספק.</w:t>
      </w:r>
      <w:r w:rsidRPr="001C2B0A">
        <w:rPr>
          <w:rFonts w:ascii="Times New Roman" w:eastAsia="Times New Roman" w:hAnsi="Times New Roman" w:cs="oprFrank" w:hint="eastAsia"/>
          <w:noProof/>
          <w:sz w:val="24"/>
          <w:szCs w:val="27"/>
          <w:rtl/>
          <w:lang w:eastAsia="he-IL"/>
        </w:rPr>
        <w:t xml:space="preserve"> </w:t>
      </w:r>
      <w:r w:rsidRPr="001C2B0A">
        <w:rPr>
          <w:rFonts w:ascii="Times New Roman" w:eastAsia="Times New Roman" w:hAnsi="Times New Roman" w:cs="oprFrank" w:hint="cs"/>
          <w:noProof/>
          <w:sz w:val="24"/>
          <w:szCs w:val="27"/>
          <w:rtl/>
          <w:lang w:eastAsia="he-IL"/>
        </w:rPr>
        <w:t>המאמר מקביל אותם לשש מידות הנפש ומראה כיצד כל הכרעה מבטאת התיחסות נפשית אחרת, בהתאם לסוג הספק הניצב לפניה. בעקבות כך בא דיון על עמדתו הכללית של בית הדין ביחס לספקות ועל ראייתו הכללית את תפקידו, ועולות השוואות בין עמדה זו ובין עמדתם של שופטי האומות, בין תפקיד זה ובין תפקידו של מלך ישראל, ובין דאגה לצדק לדאגה לסדר. למאמר נספחו דיונים קצרים נוספים הקשורים לאותה משנה.</w:t>
      </w:r>
    </w:p>
    <w:p w:rsidR="001C2B0A" w:rsidRPr="001C2B0A" w:rsidRDefault="001C2B0A" w:rsidP="001C2B0A">
      <w:pPr>
        <w:spacing w:before="60" w:after="60" w:line="350" w:lineRule="exact"/>
        <w:jc w:val="both"/>
        <w:rPr>
          <w:rFonts w:ascii="Times New Roman" w:eastAsia="Times New Roman" w:hAnsi="Times New Roman" w:cs="oprFrank"/>
          <w:noProof/>
          <w:sz w:val="24"/>
          <w:szCs w:val="27"/>
          <w:rtl/>
          <w:lang w:eastAsia="he-IL"/>
        </w:rPr>
      </w:pPr>
      <w:r w:rsidRPr="001C2B0A">
        <w:rPr>
          <w:rFonts w:ascii="Times New Roman" w:eastAsia="Times New Roman" w:hAnsi="Times New Roman" w:cs="oprFrank" w:hint="cs"/>
          <w:noProof/>
          <w:sz w:val="24"/>
          <w:szCs w:val="27"/>
          <w:rtl/>
          <w:lang w:eastAsia="he-IL"/>
        </w:rPr>
        <w:t xml:space="preserve">המאמר השני </w:t>
      </w:r>
      <w:r w:rsidRPr="001C2B0A">
        <w:rPr>
          <w:rFonts w:ascii="Times New Roman" w:eastAsia="Times New Roman" w:hAnsi="Times New Roman" w:cs="oprFrank" w:hint="eastAsia"/>
          <w:noProof/>
          <w:sz w:val="24"/>
          <w:szCs w:val="27"/>
          <w:rtl/>
          <w:lang w:eastAsia="he-IL"/>
        </w:rPr>
        <w:t xml:space="preserve">– </w:t>
      </w:r>
      <w:r w:rsidRPr="001C2B0A">
        <w:rPr>
          <w:rFonts w:ascii="Times New Roman" w:eastAsia="Times New Roman" w:hAnsi="Times New Roman" w:cs="oprFrank" w:hint="cs"/>
          <w:noProof/>
          <w:sz w:val="24"/>
          <w:szCs w:val="27"/>
          <w:rtl/>
          <w:lang w:eastAsia="he-IL"/>
        </w:rPr>
        <w:t>"מצאתיה – ראיתיה" – אינו מענינו של הספר באופן טבעי (אף שאי אפשר לבית מדרשנו בלא נגיעה במלך המשיח</w:t>
      </w:r>
      <w:r w:rsidRPr="001C2B0A">
        <w:rPr>
          <w:rFonts w:ascii="Times New Roman" w:eastAsia="Times New Roman" w:hAnsi="Times New Roman" w:cs="oprFrank" w:hint="eastAsia"/>
          <w:noProof/>
          <w:sz w:val="24"/>
          <w:szCs w:val="27"/>
          <w:rtl/>
          <w:lang w:eastAsia="he-IL"/>
        </w:rPr>
        <w:t>…</w:t>
      </w:r>
      <w:r w:rsidRPr="001C2B0A">
        <w:rPr>
          <w:rFonts w:ascii="Times New Roman" w:eastAsia="Times New Roman" w:hAnsi="Times New Roman" w:cs="oprFrank" w:hint="cs"/>
          <w:noProof/>
          <w:sz w:val="24"/>
          <w:szCs w:val="27"/>
          <w:rtl/>
          <w:lang w:eastAsia="he-IL"/>
        </w:rPr>
        <w:t>), וצורף כאן מפני שגם הוא עוסק במשנה הראשונה של בבא מציעא. עניינו לברר את מידת ממשותו הפעילה של כח הראייה, בירור הנוגע לעריכת יחס נכון בין המופשט למוחש כשבאים להוליד תוצאות מעשיות.</w:t>
      </w:r>
    </w:p>
    <w:p w:rsidR="001C2B0A" w:rsidRPr="001C2B0A" w:rsidRDefault="001C2B0A" w:rsidP="001C2B0A">
      <w:pPr>
        <w:spacing w:before="60" w:after="60" w:line="350" w:lineRule="exact"/>
        <w:jc w:val="both"/>
        <w:rPr>
          <w:rFonts w:ascii="Times New Roman" w:eastAsia="Times New Roman" w:hAnsi="Times New Roman" w:cs="oprFrank"/>
          <w:noProof/>
          <w:sz w:val="24"/>
          <w:szCs w:val="27"/>
          <w:rtl/>
          <w:lang w:eastAsia="he-IL"/>
        </w:rPr>
      </w:pPr>
      <w:r w:rsidRPr="001C2B0A">
        <w:rPr>
          <w:rFonts w:ascii="Times New Roman" w:eastAsia="Times New Roman" w:hAnsi="Times New Roman" w:cs="oprFrank" w:hint="cs"/>
          <w:noProof/>
          <w:sz w:val="24"/>
          <w:szCs w:val="27"/>
          <w:rtl/>
          <w:lang w:eastAsia="he-IL"/>
        </w:rPr>
        <w:t>המאמר השלישי – "פתיחתא לסנהדרין" – סובב סביב המשנה בסוטה האומרת כי מאז שבטלה סנהדרין בטל השיר מבתי המשתאות, ומאפיין את הסנהדרין כזו שחיה ומווסתת את הטבע היהודי, כ"בטנו" של כלל ישראל (בחינת "שררך אגן הסהר").</w:t>
      </w:r>
    </w:p>
    <w:p w:rsidR="001C2B0A" w:rsidRPr="001C2B0A" w:rsidRDefault="001C2B0A" w:rsidP="001C2B0A">
      <w:pPr>
        <w:spacing w:before="60" w:after="60" w:line="350" w:lineRule="exact"/>
        <w:jc w:val="both"/>
        <w:rPr>
          <w:rFonts w:ascii="Times New Roman" w:eastAsia="Times New Roman" w:hAnsi="Times New Roman" w:cs="oprFrank"/>
          <w:noProof/>
          <w:sz w:val="24"/>
          <w:szCs w:val="27"/>
          <w:rtl/>
          <w:lang w:eastAsia="he-IL"/>
        </w:rPr>
      </w:pPr>
      <w:r w:rsidRPr="001C2B0A">
        <w:rPr>
          <w:rFonts w:ascii="Times New Roman" w:eastAsia="Times New Roman" w:hAnsi="Times New Roman" w:cs="oprFrank" w:hint="cs"/>
          <w:noProof/>
          <w:sz w:val="24"/>
          <w:szCs w:val="27"/>
          <w:rtl/>
          <w:lang w:eastAsia="he-IL"/>
        </w:rPr>
        <w:t xml:space="preserve">המאמר הרביעי – "דינא דמלכותא דינא" – עוסק בשבעה הסברים המצויים בראשונים ל"דינא דמלכותא דינא", ונעזר בהם כדי ללבן שאלה מהותית בדבר סמכותה של המלכות: האם עיקרה של המלכות הוא ארגון השותפות, וההיררכיה נצרכת לפי זה כדי להשליט סדר וליצור כח פעולה שיפיק את רצון השותפים, או שמא עיקרה של המלכות הוא ההיררכיה, וענינה לשקף שהקיום תלוי בעצם בסמכות, ופירושו של דבר שמלכותא דארעא היא מעין יצוג של מלכותא דרקיעא. </w:t>
      </w:r>
    </w:p>
    <w:p w:rsidR="001C2B0A" w:rsidRPr="001C2B0A" w:rsidRDefault="001C2B0A" w:rsidP="001C2B0A">
      <w:pPr>
        <w:spacing w:before="60" w:after="60" w:line="350" w:lineRule="exact"/>
        <w:jc w:val="both"/>
        <w:rPr>
          <w:rFonts w:ascii="Times New Roman" w:eastAsia="Times New Roman" w:hAnsi="Times New Roman" w:cs="oprFrank"/>
          <w:noProof/>
          <w:sz w:val="24"/>
          <w:szCs w:val="27"/>
          <w:rtl/>
          <w:lang w:eastAsia="he-IL"/>
        </w:rPr>
      </w:pPr>
      <w:r w:rsidRPr="001C2B0A">
        <w:rPr>
          <w:rFonts w:ascii="Times New Roman" w:eastAsia="Times New Roman" w:hAnsi="Times New Roman" w:cs="oprFrank" w:hint="cs"/>
          <w:noProof/>
          <w:sz w:val="24"/>
          <w:szCs w:val="27"/>
          <w:rtl/>
          <w:lang w:eastAsia="he-IL"/>
        </w:rPr>
        <w:lastRenderedPageBreak/>
        <w:t>המאמר החמישי – "מעשה נבות" – נספח למאמר הרביעי, ומפתח את ששת הסברי התוספות מדוע לא היתה לאחאב רשות ליטול את כרמו של נבות, בהקבילו אותם לשש מידות הלב. ששה ההסברים מציגים בעצם שש הגבלות לכחו החריג של המלך, וההקבלה למידות משקפת את הישמרות הלב מפני הדורסנות הטמונה בהתפשטות העשיה. לבסוף מובא הסברו של הרמב"ם לאותה שאלה, הסבר שכנגד המלכות, ולפיו אין כאן חסימה של התפשטות לקצה זה או אחר אלא הגדרה המגינה על המלכות עצמה מפני מלך אשר עשוי בגחמותיו לערער את כל רצינותה.</w:t>
      </w:r>
    </w:p>
    <w:p w:rsidR="001C2B0A" w:rsidRPr="001C2B0A" w:rsidRDefault="001C2B0A" w:rsidP="001C2B0A">
      <w:pPr>
        <w:spacing w:before="60" w:after="60" w:line="350" w:lineRule="exact"/>
        <w:jc w:val="both"/>
        <w:rPr>
          <w:rFonts w:ascii="Times New Roman" w:eastAsia="Times New Roman" w:hAnsi="Times New Roman" w:cs="oprFrank"/>
          <w:noProof/>
          <w:sz w:val="24"/>
          <w:szCs w:val="27"/>
          <w:rtl/>
          <w:lang w:eastAsia="he-IL"/>
        </w:rPr>
      </w:pPr>
      <w:r w:rsidRPr="001C2B0A">
        <w:rPr>
          <w:rFonts w:ascii="Times New Roman" w:eastAsia="Times New Roman" w:hAnsi="Times New Roman" w:cs="oprFrank" w:hint="cs"/>
          <w:noProof/>
          <w:sz w:val="24"/>
          <w:szCs w:val="27"/>
          <w:rtl/>
          <w:lang w:eastAsia="he-IL"/>
        </w:rPr>
        <w:t xml:space="preserve">המאמר הששי – "עד מות הכהן הגדול" – חלקו הראשון עוסק באפיון השפעתו של הכהן הגדול על דורו בעקבות התבוננות בדין הרוצח לשבת בעיר מקלטו עד מות הכהן הגדול. מובאים שבעה הסברים של מפרשי הפשט, והעמקה בפנימיותם בעזרת הקבלתם לשבע הספירות. החלק השלישי של המאמר עורך </w:t>
      </w:r>
      <w:r w:rsidRPr="001C2B0A">
        <w:rPr>
          <w:rFonts w:ascii="Times New Roman" w:eastAsia="Times New Roman" w:hAnsi="Times New Roman" w:cs="oprFrank" w:hint="eastAsia"/>
          <w:noProof/>
          <w:sz w:val="24"/>
          <w:szCs w:val="27"/>
          <w:rtl/>
          <w:lang w:eastAsia="he-IL"/>
        </w:rPr>
        <w:t xml:space="preserve">– בעזרת דיון על שמן המשחה – </w:t>
      </w:r>
      <w:r w:rsidRPr="001C2B0A">
        <w:rPr>
          <w:rFonts w:ascii="Times New Roman" w:eastAsia="Times New Roman" w:hAnsi="Times New Roman" w:cs="oprFrank" w:hint="cs"/>
          <w:noProof/>
          <w:sz w:val="24"/>
          <w:szCs w:val="27"/>
          <w:rtl/>
          <w:lang w:eastAsia="he-IL"/>
        </w:rPr>
        <w:t>יחס בין מנהיגותו של הכהן הגדול למנהיגות החכמים ולמנהיגות המלך (יחס עניני ויחס היסטורי המציג את תולדות ישראל לאור השינויים במשקלה של כל סמכות ביחס לאחרות), אלו שענינן נדון במאמרים הקודמים.</w:t>
      </w:r>
    </w:p>
    <w:p w:rsidR="001C2B0A" w:rsidRPr="001C2B0A" w:rsidRDefault="001C2B0A" w:rsidP="001C2B0A">
      <w:pPr>
        <w:spacing w:before="60" w:after="60" w:line="350" w:lineRule="exact"/>
        <w:jc w:val="both"/>
        <w:rPr>
          <w:rFonts w:ascii="Times New Roman" w:eastAsia="Times New Roman" w:hAnsi="Times New Roman" w:cs="oprFrank"/>
          <w:noProof/>
          <w:sz w:val="24"/>
          <w:szCs w:val="27"/>
          <w:rtl/>
          <w:lang w:eastAsia="he-IL"/>
        </w:rPr>
      </w:pPr>
      <w:r w:rsidRPr="001C2B0A">
        <w:rPr>
          <w:rFonts w:ascii="Times New Roman" w:eastAsia="Times New Roman" w:hAnsi="Times New Roman" w:cs="oprFrank" w:hint="cs"/>
          <w:noProof/>
          <w:sz w:val="24"/>
          <w:szCs w:val="27"/>
          <w:rtl/>
          <w:lang w:eastAsia="he-IL"/>
        </w:rPr>
        <w:t>קודם לו בחלק השני בירור ארוך על היחס שבין המלך לבית הדין, בעיקר לענין כח הענישה של כל אחד מהם. הבירור נעשה לאור דרכו של הרמב"ם (תוך שנעזר בדבריו במורה נבוכים), וזו מוצגת כשונה משיטתו המפורסמת של הר"ן, המובאת גם היא באריכות (המעיין אף יראה כי אפשר לזהות בתפיסות השונות הללו שרשים רוחניים לתפיסה הדתית-לאומית, ולעומתה לתפיסה שאפשר לקרוא לה "משיחית"). יש לקוות כי הדיון הזה יעזור לפתרון השאלה המציקה לרבים: מה אמורות להיות פניה של מערכת עונשים רלוונטית במציאות בה המשפט מתיימר להתמודד עם עולם סבוך ולא טהור כדוגמת העולם המוכר לנו בימינו.</w:t>
      </w:r>
    </w:p>
    <w:p w:rsidR="001C2B0A" w:rsidRPr="001C2B0A" w:rsidRDefault="001C2B0A" w:rsidP="001C2B0A">
      <w:pPr>
        <w:spacing w:before="60" w:after="60" w:line="350" w:lineRule="exact"/>
        <w:jc w:val="both"/>
        <w:rPr>
          <w:rFonts w:ascii="Times New Roman" w:eastAsia="Times New Roman" w:hAnsi="Times New Roman" w:cs="oprFrank"/>
          <w:noProof/>
          <w:sz w:val="24"/>
          <w:szCs w:val="27"/>
          <w:rtl/>
          <w:lang w:eastAsia="he-IL"/>
        </w:rPr>
      </w:pPr>
      <w:r w:rsidRPr="001C2B0A">
        <w:rPr>
          <w:rFonts w:ascii="Times New Roman" w:eastAsia="Times New Roman" w:hAnsi="Times New Roman" w:cs="oprFrank" w:hint="cs"/>
          <w:noProof/>
          <w:sz w:val="24"/>
          <w:szCs w:val="27"/>
          <w:rtl/>
          <w:lang w:eastAsia="he-IL"/>
        </w:rPr>
        <w:t xml:space="preserve">המאמר השביעי – "מצות כתיבת ספר תורה על ידי המלך" – עוסק במצוה על המלך לכתוב לו ספר תורה, ושוב, הבירור כאן הוא לאור דברי הרמב"ם. במאמר מזוהות שתי בחינות בכתיבת ספר תורה של הדיוט, ועל גביהן מובחנים יעודו ומעלתו של ספר התורה של המלך. בסוף המאמר בא בירור על הזיקה בין ספר זה ובין מצות המלך לקרוא את התורה בהקהל. </w:t>
      </w:r>
    </w:p>
    <w:p w:rsidR="001C2B0A" w:rsidRPr="001C2B0A" w:rsidRDefault="001C2B0A" w:rsidP="001C2B0A">
      <w:pPr>
        <w:spacing w:before="60" w:after="60" w:line="350" w:lineRule="exact"/>
        <w:jc w:val="both"/>
        <w:rPr>
          <w:rFonts w:ascii="Times New Roman" w:eastAsia="Times New Roman" w:hAnsi="Times New Roman" w:cs="oprFrank"/>
          <w:noProof/>
          <w:sz w:val="24"/>
          <w:szCs w:val="27"/>
          <w:rtl/>
          <w:lang w:eastAsia="he-IL"/>
        </w:rPr>
      </w:pPr>
      <w:r w:rsidRPr="001C2B0A">
        <w:rPr>
          <w:rFonts w:ascii="Times New Roman" w:eastAsia="Times New Roman" w:hAnsi="Times New Roman" w:cs="oprFrank" w:hint="cs"/>
          <w:noProof/>
          <w:sz w:val="24"/>
          <w:szCs w:val="27"/>
          <w:rtl/>
          <w:lang w:eastAsia="he-IL"/>
        </w:rPr>
        <w:lastRenderedPageBreak/>
        <w:t>כיוון שנושאי המאמרים מתחככים לעתים זה בזה, ובכל זאת כל אחד נלמד ונכתב בפני עצמו, מצויות חזרות ומצויים גם דיונים שונים מפנים שונות באותם מקורות, אבל מפני התרחבות היריעה לא הסתפקנו בהפניות והעתקנו מחדש את שכבר צוטט, ועם הקורא מהיר-התפיסה הסליחה.</w:t>
      </w:r>
    </w:p>
    <w:p w:rsidR="001C2B0A" w:rsidRPr="001C2B0A" w:rsidRDefault="001C2B0A" w:rsidP="001C2B0A">
      <w:pPr>
        <w:spacing w:before="60" w:after="60" w:line="350" w:lineRule="exact"/>
        <w:jc w:val="both"/>
        <w:rPr>
          <w:rFonts w:ascii="Times New Roman" w:eastAsia="Times New Roman" w:hAnsi="Times New Roman" w:cs="oprFrank"/>
          <w:noProof/>
          <w:sz w:val="24"/>
          <w:szCs w:val="27"/>
          <w:rtl/>
          <w:lang w:eastAsia="he-IL"/>
        </w:rPr>
      </w:pPr>
      <w:r w:rsidRPr="001C2B0A">
        <w:rPr>
          <w:rFonts w:ascii="Times New Roman" w:eastAsia="Times New Roman" w:hAnsi="Times New Roman" w:cs="oprFrank" w:hint="cs"/>
          <w:noProof/>
          <w:sz w:val="24"/>
          <w:szCs w:val="27"/>
          <w:rtl/>
          <w:lang w:eastAsia="he-IL"/>
        </w:rPr>
        <w:t xml:space="preserve">ביחס לסגנון המאמרים, המערב נגלה ונסתר ושובר מחיצות ביניהם, הקורא מוזמן לעיין היטב בספר בעתה אחישנה (עמ' קסו בפרט, ויעויין שם מעמ' קנו) שם מוצגות ארבע גישות ללימוד תורה ולקשיים שמעלה בפני הלומד, וכאן אעתיק את הגישה הרביעית, המשתקפת בספר הזה (אף כי מומלץ מאד לראות את כל השיטות ואת הקשר הדברים שם כדי להפתח למבואר פה): </w:t>
      </w:r>
    </w:p>
    <w:p w:rsidR="001C2B0A" w:rsidRPr="001C2B0A" w:rsidRDefault="001C2B0A" w:rsidP="001C2B0A">
      <w:pPr>
        <w:spacing w:before="60" w:after="60" w:line="360" w:lineRule="exact"/>
        <w:ind w:left="720"/>
        <w:contextualSpacing/>
        <w:jc w:val="both"/>
        <w:rPr>
          <w:rFonts w:ascii="Times New Roman" w:eastAsia="Times New Roman" w:hAnsi="Times New Roman" w:cs="Guttman Vilna"/>
          <w:noProof/>
          <w:sz w:val="20"/>
          <w:szCs w:val="21"/>
          <w:rtl/>
          <w:lang w:val="ro-RO" w:eastAsia="he-IL"/>
        </w:rPr>
      </w:pPr>
      <w:r w:rsidRPr="001C2B0A">
        <w:rPr>
          <w:rFonts w:ascii="Times New Roman" w:eastAsia="Times New Roman" w:hAnsi="Times New Roman" w:cs="Guttman Vilna" w:hint="cs"/>
          <w:noProof/>
          <w:sz w:val="20"/>
          <w:szCs w:val="21"/>
          <w:rtl/>
          <w:lang w:eastAsia="he-IL"/>
        </w:rPr>
        <w:t>הדרך הרביעית</w:t>
      </w:r>
      <w:r w:rsidRPr="001C2B0A">
        <w:rPr>
          <w:rFonts w:ascii="Times New Roman" w:eastAsia="Times New Roman" w:hAnsi="Times New Roman" w:cs="Times New Roman" w:hint="cs"/>
          <w:noProof/>
          <w:sz w:val="20"/>
          <w:szCs w:val="21"/>
          <w:rtl/>
          <w:lang w:eastAsia="he-IL"/>
        </w:rPr>
        <w:t>…</w:t>
      </w:r>
      <w:r w:rsidRPr="001C2B0A">
        <w:rPr>
          <w:rFonts w:ascii="Times New Roman" w:eastAsia="Times New Roman" w:hAnsi="Times New Roman" w:cs="Guttman Vilna" w:hint="cs"/>
          <w:noProof/>
          <w:sz w:val="20"/>
          <w:szCs w:val="21"/>
          <w:rtl/>
          <w:lang w:eastAsia="he-IL"/>
        </w:rPr>
        <w:t xml:space="preserve"> אינה יוצרת כלל הבחנה בין הפנימיות והנגלה שבתורה. בדרך זו לימוד הנגלה ולימוד הפנימיות חד הם – גם בלימוד הנגלה ניכר היטב כי זהו דבר ה' (והעיסוק בגשמיות המציאות כלל אינו מסתיר על כך) וגם לימוד הנסתר נותן בטבעיות את אותותיו בחיי המעשה. זהו הלימוד אליו יש לשאוף בדורנו – והדבר ניכר היטב בדרך העיון בשיחותיו של כ"ק אדמו"ר מליובאוויטש, המרבה בעיון עמוק על דרך הנגלה מחד, ומאידך מוצא בכל ענין גם את "יינה של תורה" הפנימי – לימוד נגלה בו כל הלכה נלמדת גם בטעמיה הפנימיים על פי הקבלה והחסידות, לימוד נסתר בו כל סוד מתברר גם בהשלכותיו על "המעשה הוא העיקר", לימוד בו כל קושיא מתישבת על פי כל רבדי התורה. אז תחומי התורה השונים מזינים זה את זה בטבעיות ומתוך חיבור מלא,</w:t>
      </w:r>
      <w:r w:rsidRPr="001C2B0A">
        <w:rPr>
          <w:rFonts w:ascii="Times New Roman" w:eastAsia="Times New Roman" w:hAnsi="Times New Roman" w:cs="Guttman Vilna" w:hint="cs"/>
          <w:noProof/>
          <w:sz w:val="20"/>
          <w:szCs w:val="21"/>
          <w:rtl/>
          <w:lang w:val="ro-RO" w:eastAsia="he-IL"/>
        </w:rPr>
        <w:t xml:space="preserve"> וממילא הלימוד נעשה חי, רבגוני ומושך הרבה יותר </w:t>
      </w:r>
      <w:r w:rsidRPr="001C2B0A">
        <w:rPr>
          <w:rFonts w:ascii="Times New Roman" w:eastAsia="Times New Roman" w:hAnsi="Times New Roman" w:cs="Times New Roman" w:hint="cs"/>
          <w:noProof/>
          <w:sz w:val="20"/>
          <w:szCs w:val="21"/>
          <w:rtl/>
          <w:lang w:val="ro-RO" w:eastAsia="he-IL"/>
        </w:rPr>
        <w:t>…</w:t>
      </w:r>
    </w:p>
    <w:p w:rsidR="001C2B0A" w:rsidRPr="001C2B0A" w:rsidRDefault="001C2B0A" w:rsidP="001C2B0A">
      <w:pPr>
        <w:spacing w:before="60" w:after="60" w:line="350" w:lineRule="exact"/>
        <w:jc w:val="both"/>
        <w:rPr>
          <w:rFonts w:ascii="Times New Roman" w:eastAsia="Times New Roman" w:hAnsi="Times New Roman" w:cs="oprFrank"/>
          <w:noProof/>
          <w:sz w:val="24"/>
          <w:szCs w:val="27"/>
          <w:rtl/>
          <w:lang w:val="ro-RO" w:eastAsia="he-IL"/>
        </w:rPr>
      </w:pPr>
      <w:r w:rsidRPr="001C2B0A">
        <w:rPr>
          <w:rFonts w:ascii="Times New Roman" w:eastAsia="Times New Roman" w:hAnsi="Times New Roman" w:cs="oprFrank" w:hint="cs"/>
          <w:noProof/>
          <w:sz w:val="24"/>
          <w:szCs w:val="27"/>
          <w:rtl/>
          <w:lang w:val="ro-RO" w:eastAsia="he-IL"/>
        </w:rPr>
        <w:t xml:space="preserve">את פירות הגישה הזאת, כפי שמשתקפים בספר זה, ישפוט הקורא, ונקוה שיערבו לו. </w:t>
      </w:r>
    </w:p>
    <w:p w:rsidR="001C2B0A" w:rsidRPr="001C2B0A" w:rsidRDefault="001C2B0A" w:rsidP="001C2B0A">
      <w:pPr>
        <w:spacing w:before="60" w:after="60" w:line="350" w:lineRule="exact"/>
        <w:jc w:val="both"/>
        <w:rPr>
          <w:rFonts w:ascii="Times New Roman" w:eastAsia="Times New Roman" w:hAnsi="Times New Roman" w:cs="oprFrank"/>
          <w:noProof/>
          <w:szCs w:val="27"/>
          <w:rtl/>
          <w:lang w:eastAsia="he-IL"/>
        </w:rPr>
      </w:pPr>
      <w:r w:rsidRPr="001C2B0A">
        <w:rPr>
          <w:rFonts w:ascii="Times New Roman" w:eastAsia="Times New Roman" w:hAnsi="Times New Roman" w:cs="oprFrank" w:hint="cs"/>
          <w:noProof/>
          <w:szCs w:val="27"/>
          <w:rtl/>
          <w:lang w:eastAsia="he-IL"/>
        </w:rPr>
        <w:t>לגבי מידת ההתערבות של העורך בדברי הרב, יעויין בהקדמות לספרים תום ודעת ורוחו של משיח.</w:t>
      </w:r>
    </w:p>
    <w:p w:rsidR="001C2B0A" w:rsidRPr="001C2B0A" w:rsidRDefault="001C2B0A" w:rsidP="001C2B0A">
      <w:pPr>
        <w:spacing w:before="60" w:after="60" w:line="350" w:lineRule="exact"/>
        <w:jc w:val="both"/>
        <w:rPr>
          <w:rFonts w:ascii="Times New Roman" w:eastAsia="Times New Roman" w:hAnsi="Times New Roman" w:cs="oprFrank"/>
          <w:noProof/>
          <w:sz w:val="24"/>
          <w:szCs w:val="27"/>
          <w:rtl/>
          <w:lang w:val="ro-RO" w:eastAsia="he-IL"/>
        </w:rPr>
      </w:pPr>
      <w:r w:rsidRPr="001C2B0A">
        <w:rPr>
          <w:rFonts w:ascii="Times New Roman" w:eastAsia="Times New Roman" w:hAnsi="Times New Roman" w:cs="oprFrank" w:hint="cs"/>
          <w:noProof/>
          <w:sz w:val="24"/>
          <w:szCs w:val="27"/>
          <w:rtl/>
          <w:lang w:val="ro-RO" w:eastAsia="he-IL"/>
        </w:rPr>
        <w:t>בסיום דברינו נודה לאלו שהקדישו מזמנם לקרוא ולדון אתנו בדברים, ולהעמידם על אמיתתם ודיוקם, ונקוה שהתוצאות ישאו חן בעיניהם.</w:t>
      </w:r>
    </w:p>
    <w:p w:rsidR="005F4A47" w:rsidRDefault="001C2B0A">
      <w:bookmarkStart w:id="5" w:name="_GoBack"/>
      <w:bookmarkEnd w:id="5"/>
    </w:p>
    <w:sectPr w:rsidR="005F4A47" w:rsidSect="00061E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W_Shalom">
    <w:charset w:val="B1"/>
    <w:family w:val="auto"/>
    <w:pitch w:val="variable"/>
    <w:sig w:usb0="00001801" w:usb1="00000000" w:usb2="00000000" w:usb3="00000000" w:csb0="00000020" w:csb1="00000000"/>
  </w:font>
  <w:font w:name="Guttman Vilna">
    <w:panose1 w:val="02010401010101010101"/>
    <w:charset w:val="B1"/>
    <w:family w:val="auto"/>
    <w:pitch w:val="variable"/>
    <w:sig w:usb0="00000801" w:usb1="40000000" w:usb2="00000000" w:usb3="00000000" w:csb0="00000020" w:csb1="00000000"/>
  </w:font>
  <w:font w:name="oprFrank">
    <w:altName w:val="Courier New"/>
    <w:charset w:val="00"/>
    <w:family w:val="auto"/>
    <w:pitch w:val="variable"/>
    <w:sig w:usb0="00000000"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68"/>
    <w:rsid w:val="00061E65"/>
    <w:rsid w:val="00123A68"/>
    <w:rsid w:val="001C2B0A"/>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835</Words>
  <Characters>4179</Characters>
  <Application>Microsoft Office Word</Application>
  <DocSecurity>0</DocSecurity>
  <Lines>34</Lines>
  <Paragraphs>10</Paragraphs>
  <ScaleCrop>false</ScaleCrop>
  <Company/>
  <LinksUpToDate>false</LinksUpToDate>
  <CharactersWithSpaces>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2017-07-12T10:48:00Z</dcterms:created>
  <dcterms:modified xsi:type="dcterms:W3CDTF">2017-07-12T10:48:00Z</dcterms:modified>
</cp:coreProperties>
</file>