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CD5" w:rsidRPr="00BB1740" w:rsidRDefault="00FD7CD5" w:rsidP="00FD7CD5">
      <w:pPr>
        <w:pStyle w:val="2"/>
        <w:rPr>
          <w:rFonts w:hint="cs"/>
          <w:rtl/>
        </w:rPr>
      </w:pPr>
      <w:bookmarkStart w:id="0" w:name="_Ref81149113"/>
      <w:r w:rsidRPr="00BB1740">
        <w:rPr>
          <w:rFonts w:hint="cs"/>
          <w:rtl/>
        </w:rPr>
        <w:t>הקדמה</w:t>
      </w:r>
      <w:bookmarkEnd w:id="0"/>
    </w:p>
    <w:p w:rsidR="00FD7CD5" w:rsidRPr="00BB1740" w:rsidRDefault="00FD7CD5" w:rsidP="00FD7CD5">
      <w:pPr>
        <w:rPr>
          <w:rFonts w:hint="cs"/>
          <w:rtl/>
        </w:rPr>
      </w:pPr>
      <w:r w:rsidRPr="00BB1740">
        <w:rPr>
          <w:rFonts w:hint="cs"/>
          <w:rtl/>
        </w:rPr>
        <w:t>הלִבה של הספר שלפניכם היא התבוננות במצוות המעשיות של חגי תשרי: תקיעת שופר, עבודת כהן גדול ביום הכפורים, סוכה ולולב. ה</w:t>
      </w:r>
      <w:r w:rsidRPr="00660853">
        <w:rPr>
          <w:rStyle w:val="a3"/>
          <w:rFonts w:hint="cs"/>
          <w:rtl/>
        </w:rPr>
        <w:t xml:space="preserve">פקודות </w:t>
      </w:r>
      <w:r w:rsidRPr="00BB1740">
        <w:rPr>
          <w:rFonts w:hint="cs"/>
          <w:rtl/>
        </w:rPr>
        <w:t xml:space="preserve">האלקיות הן גם </w:t>
      </w:r>
      <w:r w:rsidRPr="00660853">
        <w:rPr>
          <w:rStyle w:val="a3"/>
          <w:rFonts w:hint="cs"/>
          <w:rtl/>
        </w:rPr>
        <w:t>פקידות</w:t>
      </w:r>
      <w:r w:rsidRPr="00BB1740">
        <w:rPr>
          <w:rFonts w:hint="cs"/>
          <w:rtl/>
        </w:rPr>
        <w:t>, באות אל האדם ומחברות אותו אל הוי' ואל טובו. ריבוי ההתבוננות וריבוי ההכנה למצווה פותח את השכבות הרבות שבנפש,</w:t>
      </w:r>
      <w:r w:rsidRPr="00BB1740">
        <w:rPr>
          <w:rFonts w:cs="Aharoni" w:hint="cs"/>
          <w:sz w:val="26"/>
          <w:rtl/>
        </w:rPr>
        <w:t xml:space="preserve"> </w:t>
      </w:r>
      <w:r w:rsidRPr="00BB1740">
        <w:rPr>
          <w:rFonts w:hint="cs"/>
          <w:rtl/>
        </w:rPr>
        <w:t>לדעת את ה' (דעת פירושה התקשרות, בחינת "והאדם ידע את חוה אשתו"),  והאדם נהיה חדור יותר ויותר באורו הטוב.</w:t>
      </w:r>
    </w:p>
    <w:p w:rsidR="00FD7CD5" w:rsidRPr="00BB1740" w:rsidRDefault="00FD7CD5" w:rsidP="00FD7CD5">
      <w:pPr>
        <w:rPr>
          <w:rFonts w:hint="cs"/>
          <w:rtl/>
        </w:rPr>
      </w:pPr>
      <w:r w:rsidRPr="00BB1740">
        <w:rPr>
          <w:rFonts w:hint="cs"/>
          <w:rtl/>
        </w:rPr>
        <w:t>אמנם, ההתחברות למצוות אסור לה שתימדד רק לפי מידת האור והטוב שהנפש טעמה, שכן כל הפקידות הללו הן ביטוי של ברית, והברית עצמה עמוקה וחשאית היא, ואין הכחות הגלויים של הנפש יכולים לבוא בסודה. הלא הללו ניידים ונזילים, והיא יתד שלא תימוט, והיחס בינם לבינה הריהו כיחס שבין החוויות לעצם החיים והקיום.</w:t>
      </w:r>
    </w:p>
    <w:p w:rsidR="00FD7CD5" w:rsidRPr="00BB1740" w:rsidRDefault="00FD7CD5" w:rsidP="00FD7CD5">
      <w:pPr>
        <w:rPr>
          <w:rFonts w:hint="cs"/>
          <w:rtl/>
        </w:rPr>
      </w:pPr>
      <w:r w:rsidRPr="00BB1740">
        <w:rPr>
          <w:rFonts w:hint="cs"/>
          <w:rtl/>
        </w:rPr>
        <w:t>ובכל זאת, יש עבודה שבלב המכוונת לגשש סביב הלא-נודע ולמשש אותו עצמו, בלא לסתור את מסתוריותו ובלא לערער את איתן מעמדו, זוהי עבודת התמימות. התמימות רוצה שהפלא ישאר פלא, חתום וסתום דוקא, ומשם שואבת היא את חייה, ושמא נכון יותר לומר: שם טובלת היא את עצמה, כדג הטבול במקור חיותו.</w:t>
      </w:r>
    </w:p>
    <w:p w:rsidR="00FD7CD5" w:rsidRPr="00BB1740" w:rsidRDefault="00FD7CD5" w:rsidP="00FD7CD5">
      <w:pPr>
        <w:rPr>
          <w:rFonts w:hint="cs"/>
          <w:rtl/>
        </w:rPr>
      </w:pPr>
      <w:r w:rsidRPr="00BB1740">
        <w:rPr>
          <w:rFonts w:hint="cs"/>
          <w:rtl/>
        </w:rPr>
        <w:t>כשם שתשרי מצטיין בריבוי פקידותיו – כדברי חז"ל (ב</w:t>
      </w:r>
      <w:r w:rsidRPr="00BB1740">
        <w:rPr>
          <w:rFonts w:hint="eastAsia"/>
          <w:rtl/>
        </w:rPr>
        <w:t>ויקרא</w:t>
      </w:r>
      <w:r w:rsidRPr="00BB1740">
        <w:rPr>
          <w:rtl/>
        </w:rPr>
        <w:t xml:space="preserve"> </w:t>
      </w:r>
      <w:r w:rsidRPr="00BB1740">
        <w:rPr>
          <w:rFonts w:hint="eastAsia"/>
          <w:rtl/>
        </w:rPr>
        <w:t>רבה</w:t>
      </w:r>
      <w:r w:rsidRPr="00BB1740">
        <w:rPr>
          <w:rFonts w:hint="cs"/>
          <w:rtl/>
        </w:rPr>
        <w:t>)</w:t>
      </w:r>
      <w:r w:rsidRPr="00BB1740">
        <w:rPr>
          <w:rtl/>
        </w:rPr>
        <w:t xml:space="preserve"> </w:t>
      </w:r>
      <w:r w:rsidRPr="00BB1740">
        <w:rPr>
          <w:rFonts w:hint="cs"/>
          <w:rtl/>
        </w:rPr>
        <w:t>"'</w:t>
      </w:r>
      <w:r w:rsidRPr="00BB1740">
        <w:rPr>
          <w:rFonts w:hint="eastAsia"/>
          <w:rtl/>
        </w:rPr>
        <w:t>בחדש</w:t>
      </w:r>
      <w:r w:rsidRPr="00BB1740">
        <w:rPr>
          <w:rtl/>
        </w:rPr>
        <w:t xml:space="preserve"> </w:t>
      </w:r>
      <w:r w:rsidRPr="00BB1740">
        <w:rPr>
          <w:rFonts w:hint="eastAsia"/>
          <w:rtl/>
        </w:rPr>
        <w:t>השביעי</w:t>
      </w:r>
      <w:r w:rsidRPr="00BB1740">
        <w:rPr>
          <w:rtl/>
        </w:rPr>
        <w:t xml:space="preserve"> </w:t>
      </w:r>
      <w:r w:rsidRPr="00BB1740">
        <w:rPr>
          <w:rFonts w:hint="eastAsia"/>
          <w:rtl/>
        </w:rPr>
        <w:t>באחד</w:t>
      </w:r>
      <w:r w:rsidRPr="00BB1740">
        <w:rPr>
          <w:rtl/>
        </w:rPr>
        <w:t xml:space="preserve"> </w:t>
      </w:r>
      <w:r w:rsidRPr="00BB1740">
        <w:rPr>
          <w:rFonts w:hint="eastAsia"/>
          <w:rtl/>
        </w:rPr>
        <w:t>לחדש</w:t>
      </w:r>
      <w:r w:rsidRPr="00BB1740">
        <w:rPr>
          <w:rFonts w:hint="cs"/>
          <w:rtl/>
        </w:rPr>
        <w:t>' –</w:t>
      </w:r>
      <w:r w:rsidRPr="00BB1740">
        <w:rPr>
          <w:rtl/>
        </w:rPr>
        <w:t xml:space="preserve"> </w:t>
      </w:r>
      <w:r w:rsidRPr="00BB1740">
        <w:rPr>
          <w:rFonts w:hint="eastAsia"/>
          <w:rtl/>
        </w:rPr>
        <w:t>חדש</w:t>
      </w:r>
      <w:r w:rsidRPr="00BB1740">
        <w:rPr>
          <w:rtl/>
        </w:rPr>
        <w:t xml:space="preserve"> </w:t>
      </w:r>
      <w:r w:rsidRPr="00BB1740">
        <w:rPr>
          <w:rFonts w:hint="eastAsia"/>
          <w:rtl/>
        </w:rPr>
        <w:t>שהוא</w:t>
      </w:r>
      <w:r w:rsidRPr="00BB1740">
        <w:rPr>
          <w:rtl/>
        </w:rPr>
        <w:t xml:space="preserve"> </w:t>
      </w:r>
      <w:r w:rsidRPr="00BB1740">
        <w:rPr>
          <w:rFonts w:hint="eastAsia"/>
          <w:rtl/>
        </w:rPr>
        <w:t>משובע</w:t>
      </w:r>
      <w:r w:rsidRPr="00BB1740">
        <w:rPr>
          <w:rtl/>
        </w:rPr>
        <w:t xml:space="preserve"> </w:t>
      </w:r>
      <w:r w:rsidRPr="00BB1740">
        <w:rPr>
          <w:rFonts w:hint="eastAsia"/>
          <w:rtl/>
        </w:rPr>
        <w:t>במצות</w:t>
      </w:r>
      <w:r w:rsidRPr="00BB1740">
        <w:rPr>
          <w:rtl/>
        </w:rPr>
        <w:t xml:space="preserve">. </w:t>
      </w:r>
      <w:r w:rsidRPr="00BB1740">
        <w:rPr>
          <w:rFonts w:hint="eastAsia"/>
          <w:rtl/>
        </w:rPr>
        <w:t>ראש</w:t>
      </w:r>
      <w:r w:rsidRPr="00BB1740">
        <w:rPr>
          <w:rtl/>
        </w:rPr>
        <w:t xml:space="preserve"> </w:t>
      </w:r>
      <w:r w:rsidRPr="00BB1740">
        <w:rPr>
          <w:rFonts w:hint="eastAsia"/>
          <w:rtl/>
        </w:rPr>
        <w:t>השנה</w:t>
      </w:r>
      <w:r w:rsidRPr="00BB1740">
        <w:rPr>
          <w:rtl/>
        </w:rPr>
        <w:t xml:space="preserve"> </w:t>
      </w:r>
      <w:r w:rsidRPr="00BB1740">
        <w:rPr>
          <w:rFonts w:hint="eastAsia"/>
          <w:rtl/>
        </w:rPr>
        <w:t>בתוכו</w:t>
      </w:r>
      <w:r w:rsidRPr="00BB1740">
        <w:rPr>
          <w:rtl/>
        </w:rPr>
        <w:t xml:space="preserve">, </w:t>
      </w:r>
      <w:r w:rsidRPr="00BB1740">
        <w:rPr>
          <w:rFonts w:hint="eastAsia"/>
          <w:rtl/>
        </w:rPr>
        <w:t>יום</w:t>
      </w:r>
      <w:r w:rsidRPr="00BB1740">
        <w:rPr>
          <w:rtl/>
        </w:rPr>
        <w:t xml:space="preserve"> </w:t>
      </w:r>
      <w:r w:rsidRPr="00BB1740">
        <w:rPr>
          <w:rFonts w:hint="eastAsia"/>
          <w:rtl/>
        </w:rPr>
        <w:t>הכפורים</w:t>
      </w:r>
      <w:r w:rsidRPr="00BB1740">
        <w:rPr>
          <w:rtl/>
        </w:rPr>
        <w:t xml:space="preserve"> </w:t>
      </w:r>
      <w:r w:rsidRPr="00BB1740">
        <w:rPr>
          <w:rFonts w:hint="eastAsia"/>
          <w:rtl/>
        </w:rPr>
        <w:t>בתוכו</w:t>
      </w:r>
      <w:r w:rsidRPr="00BB1740">
        <w:rPr>
          <w:rtl/>
        </w:rPr>
        <w:t xml:space="preserve">, </w:t>
      </w:r>
      <w:r w:rsidRPr="00BB1740">
        <w:rPr>
          <w:rFonts w:hint="eastAsia"/>
          <w:rtl/>
        </w:rPr>
        <w:t>סוכה</w:t>
      </w:r>
      <w:r w:rsidRPr="00BB1740">
        <w:rPr>
          <w:rtl/>
        </w:rPr>
        <w:t xml:space="preserve"> </w:t>
      </w:r>
      <w:r w:rsidRPr="00BB1740">
        <w:rPr>
          <w:rFonts w:hint="eastAsia"/>
          <w:rtl/>
        </w:rPr>
        <w:t>בתוכו</w:t>
      </w:r>
      <w:r w:rsidRPr="00BB1740">
        <w:rPr>
          <w:rtl/>
        </w:rPr>
        <w:t xml:space="preserve">, </w:t>
      </w:r>
      <w:r w:rsidRPr="00BB1740">
        <w:rPr>
          <w:rFonts w:hint="eastAsia"/>
          <w:rtl/>
        </w:rPr>
        <w:t>לולב</w:t>
      </w:r>
      <w:r w:rsidRPr="00BB1740">
        <w:rPr>
          <w:rtl/>
        </w:rPr>
        <w:t xml:space="preserve"> </w:t>
      </w:r>
      <w:r w:rsidRPr="00BB1740">
        <w:rPr>
          <w:rFonts w:hint="eastAsia"/>
          <w:rtl/>
        </w:rPr>
        <w:t>בתוכו</w:t>
      </w:r>
      <w:r w:rsidRPr="00BB1740">
        <w:rPr>
          <w:rtl/>
        </w:rPr>
        <w:t xml:space="preserve">, </w:t>
      </w:r>
      <w:r w:rsidRPr="00BB1740">
        <w:rPr>
          <w:rFonts w:hint="eastAsia"/>
          <w:rtl/>
        </w:rPr>
        <w:t>אתרוג</w:t>
      </w:r>
      <w:r w:rsidRPr="00BB1740">
        <w:rPr>
          <w:rtl/>
        </w:rPr>
        <w:t xml:space="preserve"> </w:t>
      </w:r>
      <w:r w:rsidRPr="00BB1740">
        <w:rPr>
          <w:rFonts w:hint="eastAsia"/>
          <w:rtl/>
        </w:rPr>
        <w:t>בתוכו</w:t>
      </w:r>
      <w:r w:rsidRPr="00BB1740">
        <w:rPr>
          <w:rtl/>
        </w:rPr>
        <w:t xml:space="preserve">, </w:t>
      </w:r>
      <w:r w:rsidRPr="00BB1740">
        <w:rPr>
          <w:rFonts w:hint="eastAsia"/>
          <w:rtl/>
        </w:rPr>
        <w:t>הדס</w:t>
      </w:r>
      <w:r w:rsidRPr="00BB1740">
        <w:rPr>
          <w:rtl/>
        </w:rPr>
        <w:t xml:space="preserve"> </w:t>
      </w:r>
      <w:r w:rsidRPr="00BB1740">
        <w:rPr>
          <w:rFonts w:hint="eastAsia"/>
          <w:rtl/>
        </w:rPr>
        <w:t>בתוכו</w:t>
      </w:r>
      <w:r w:rsidRPr="00BB1740">
        <w:rPr>
          <w:rtl/>
        </w:rPr>
        <w:t xml:space="preserve">, </w:t>
      </w:r>
      <w:r w:rsidRPr="00BB1740">
        <w:rPr>
          <w:rFonts w:hint="eastAsia"/>
          <w:rtl/>
        </w:rPr>
        <w:t>ערבה</w:t>
      </w:r>
      <w:r w:rsidRPr="00BB1740">
        <w:rPr>
          <w:rtl/>
        </w:rPr>
        <w:t xml:space="preserve"> </w:t>
      </w:r>
      <w:r w:rsidRPr="00BB1740">
        <w:rPr>
          <w:rFonts w:hint="eastAsia"/>
          <w:rtl/>
        </w:rPr>
        <w:t>בתוכו</w:t>
      </w:r>
      <w:r w:rsidRPr="00BB1740">
        <w:rPr>
          <w:rFonts w:hint="cs"/>
          <w:rtl/>
        </w:rPr>
        <w:t xml:space="preserve">" –  כך מתאים לראות את חודש ההכנה לו, חודש אלול שמזלו בתולה, כמכוון את הנפש להיטהר ולהתמם. ואכן, בחודש אלול קוראים אנו בתורה (בפרשת שופטים) על מצות התמימות. על כן בא בראש הספר מאמר ארוך המלבן את שיטות הראשונים בענין התמימות, ובעיקר מייקר את שיטתו של התמים הגדול, רש"י, כשלמות ותמימות התמימות. </w:t>
      </w:r>
    </w:p>
    <w:p w:rsidR="00FD7CD5" w:rsidRPr="00BB1740" w:rsidRDefault="00FD7CD5" w:rsidP="00FD7CD5">
      <w:pPr>
        <w:rPr>
          <w:rFonts w:hint="cs"/>
          <w:rtl/>
        </w:rPr>
      </w:pPr>
      <w:r w:rsidRPr="00BB1740">
        <w:rPr>
          <w:rFonts w:hint="cs"/>
          <w:rtl/>
        </w:rPr>
        <w:t>אמרו הקדמונים כי תכלית הידיעה שלא נדע. ובקדושה, כשם שיש אי-ידיעה שכולה אמון עיוור לפני המאמצים להחדיר ולהפנים, כך עצם תהליך ההתחברות מעלה את האדם למקום בו נעתקות המילים ומסתתמות המחשבות, ושוב מוצא הוא את עצמו מול הבלתי נודע, אלא שעתה זה אחרת. הנה באים אנו מן הצעקה של השופר, מן היכולת ההיולית ביותר 'לפתוח את הפה', אל ההזדככות המופלגת של יום הכפורים, ואל השמחה וההצלחה שבארבעת המינים, ולפתע שמים לב, והנה שוב ה' מסתתר בצל הסוכה,</w:t>
      </w:r>
      <w:r w:rsidRPr="00BB1740">
        <w:rPr>
          <w:rFonts w:cs="Aharoni" w:hint="cs"/>
          <w:sz w:val="26"/>
          <w:rtl/>
        </w:rPr>
        <w:t xml:space="preserve"> </w:t>
      </w:r>
      <w:r w:rsidRPr="00BB1740">
        <w:rPr>
          <w:rFonts w:hint="cs"/>
          <w:rtl/>
        </w:rPr>
        <w:t xml:space="preserve">הנה ככל שנודע לנו יותר, בעצם משך אותנו עצמנו אל הלא-נודע. אכן חזרנו אל הלא נודע, אולם הפעם "בצלו חמדתי וישבתי". הידיעות שהוטעמתי בהן עד כה עושות את הלא-נודע למלא וגדוש, ואת החיזור האין-סופי אחריו במשחקי אור וצל, למלא תקוה. תקוה כי יהא אשר יהא המסתורין, אנחנו לא נישאר בחוץ. </w:t>
      </w:r>
    </w:p>
    <w:p w:rsidR="00FD7CD5" w:rsidRPr="00BB1740" w:rsidRDefault="00FD7CD5" w:rsidP="00FD7CD5">
      <w:pPr>
        <w:rPr>
          <w:rFonts w:hint="cs"/>
          <w:rtl/>
        </w:rPr>
      </w:pPr>
      <w:r w:rsidRPr="00BB1740">
        <w:rPr>
          <w:rFonts w:hint="cs"/>
          <w:rtl/>
        </w:rPr>
        <w:t>לכן הוספנו מאמר סוגר המשלים את המאמר הפותח, כשם שהוא מפתח את המאמר על צל הסוכה, מאמר על השגחה פרטית, ועל יכולתנו לבוא בסודה.</w:t>
      </w:r>
    </w:p>
    <w:p w:rsidR="00FD7CD5" w:rsidRPr="00BB1740" w:rsidRDefault="00FD7CD5" w:rsidP="00FD7CD5">
      <w:pPr>
        <w:rPr>
          <w:rFonts w:hint="cs"/>
          <w:rtl/>
        </w:rPr>
      </w:pPr>
      <w:r w:rsidRPr="00BB1740">
        <w:rPr>
          <w:rFonts w:hint="cs"/>
          <w:rtl/>
        </w:rPr>
        <w:t>כיוון שעסקנו ביום הכפורים, ובפרט בסדר העבודה שנאמר במוסף, לא נמנענו מלצרף לזה מאמר על יונה המתאים למנחה של יום כפור, והוספה לו המתאימה לנעילה (כפי שיראה המעיין, המאמר האחרון בספר מכוון יפה לשבת בראשית, וה"הוספה" לנעילה נוגעת מאד גם לצום גדליה).</w:t>
      </w:r>
    </w:p>
    <w:p w:rsidR="00FD7CD5" w:rsidRPr="00BB1740" w:rsidRDefault="00FD7CD5" w:rsidP="00FD7CD5">
      <w:pPr>
        <w:rPr>
          <w:rFonts w:hint="cs"/>
          <w:rtl/>
        </w:rPr>
      </w:pPr>
      <w:r w:rsidRPr="00BB1740">
        <w:rPr>
          <w:rFonts w:hint="cs"/>
          <w:rtl/>
        </w:rPr>
        <w:t xml:space="preserve">אמר הכותב והעורך: </w:t>
      </w:r>
    </w:p>
    <w:p w:rsidR="00FD7CD5" w:rsidRPr="00BB1740" w:rsidRDefault="00FD7CD5" w:rsidP="00FD7CD5">
      <w:pPr>
        <w:rPr>
          <w:rFonts w:hint="cs"/>
          <w:rtl/>
        </w:rPr>
      </w:pPr>
      <w:r w:rsidRPr="00BB1740">
        <w:rPr>
          <w:rFonts w:hint="cs"/>
          <w:rtl/>
        </w:rPr>
        <w:t xml:space="preserve">בספר הזה, עוד יותר מבספרים הקודמים, אחזתי בבחינת "חוצפית המתורגמן", ומלאני לבי לרקוח את דברי הרב עם דברי התלמיד. אין כאן לא תרגום לשפת המדע ולא לשפת האומנות, ואף לא לשפת הפילוסופיה, אבל יש כאן רצון לקרב ולתרגם את סודות התורה לפשטי המקראות. חלק מהכתוב לפניכם הוא רק סידור ועריכה של שיעורי הרב, חלק הוא פיתוח והרחבה שלהם, ויש אף חלק שרק הגרעין והרעיונות היסודיים שבו נלמדו מן הרב, אבל ההתבוננות הפרשנית היא שלי. הדברים פתוכים זה בזה, ואין טעם לעסוק בהבחנות, לפי שהחיבור בכללו היה לנגד עיניו של הרב וזכה להסכמתו. בכל </w:t>
      </w:r>
      <w:r w:rsidRPr="00BB1740">
        <w:rPr>
          <w:rFonts w:hint="cs"/>
          <w:rtl/>
        </w:rPr>
        <w:lastRenderedPageBreak/>
        <w:t>זאת, לטובת הסקרנים אספר, כי כל היכן שיש בירורים ארוכים בפשטי המקראות, שם מורגשת בפרט טביעת אצבעותי.</w:t>
      </w:r>
    </w:p>
    <w:p w:rsidR="005F4A47" w:rsidRDefault="00FD7CD5">
      <w:pPr>
        <w:rPr>
          <w:rFonts w:hint="cs"/>
        </w:rPr>
      </w:pPr>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001"/>
    <w:rsid w:val="00061E65"/>
    <w:rsid w:val="00A50001"/>
    <w:rsid w:val="00AC2310"/>
    <w:rsid w:val="00FD7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CD5"/>
    <w:pPr>
      <w:bidi/>
      <w:spacing w:after="80" w:line="300" w:lineRule="exact"/>
      <w:ind w:firstLine="170"/>
      <w:jc w:val="both"/>
    </w:pPr>
    <w:rPr>
      <w:rFonts w:ascii="Times New Roman" w:eastAsia="Times New Roman" w:hAnsi="Times New Roman" w:cs="FrankRuehl"/>
      <w:noProof/>
      <w:szCs w:val="26"/>
      <w:lang w:eastAsia="he-IL"/>
    </w:rPr>
  </w:style>
  <w:style w:type="paragraph" w:styleId="2">
    <w:name w:val="heading 2"/>
    <w:basedOn w:val="a"/>
    <w:next w:val="a"/>
    <w:link w:val="20"/>
    <w:qFormat/>
    <w:rsid w:val="00FD7CD5"/>
    <w:pPr>
      <w:keepNext/>
      <w:spacing w:before="240" w:after="240" w:line="480" w:lineRule="exact"/>
      <w:ind w:firstLine="0"/>
      <w:jc w:val="center"/>
      <w:outlineLvl w:val="1"/>
    </w:pPr>
    <w:rPr>
      <w:rFonts w:cs="Guttman-Soncino"/>
      <w:b/>
      <w:bCs/>
      <w:w w:val="95"/>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FD7CD5"/>
    <w:rPr>
      <w:rFonts w:ascii="Times New Roman" w:eastAsia="Times New Roman" w:hAnsi="Times New Roman" w:cs="Guttman-Soncino"/>
      <w:b/>
      <w:bCs/>
      <w:noProof/>
      <w:w w:val="95"/>
      <w:sz w:val="42"/>
      <w:szCs w:val="42"/>
      <w:lang w:eastAsia="he-IL"/>
    </w:rPr>
  </w:style>
  <w:style w:type="character" w:customStyle="1" w:styleId="a3">
    <w:name w:val="מרים"/>
    <w:basedOn w:val="a0"/>
    <w:rsid w:val="00FD7CD5"/>
    <w:rPr>
      <w:rFonts w:cs="Miriam"/>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CD5"/>
    <w:pPr>
      <w:bidi/>
      <w:spacing w:after="80" w:line="300" w:lineRule="exact"/>
      <w:ind w:firstLine="170"/>
      <w:jc w:val="both"/>
    </w:pPr>
    <w:rPr>
      <w:rFonts w:ascii="Times New Roman" w:eastAsia="Times New Roman" w:hAnsi="Times New Roman" w:cs="FrankRuehl"/>
      <w:noProof/>
      <w:szCs w:val="26"/>
      <w:lang w:eastAsia="he-IL"/>
    </w:rPr>
  </w:style>
  <w:style w:type="paragraph" w:styleId="2">
    <w:name w:val="heading 2"/>
    <w:basedOn w:val="a"/>
    <w:next w:val="a"/>
    <w:link w:val="20"/>
    <w:qFormat/>
    <w:rsid w:val="00FD7CD5"/>
    <w:pPr>
      <w:keepNext/>
      <w:spacing w:before="240" w:after="240" w:line="480" w:lineRule="exact"/>
      <w:ind w:firstLine="0"/>
      <w:jc w:val="center"/>
      <w:outlineLvl w:val="1"/>
    </w:pPr>
    <w:rPr>
      <w:rFonts w:cs="Guttman-Soncino"/>
      <w:b/>
      <w:bCs/>
      <w:w w:val="95"/>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FD7CD5"/>
    <w:rPr>
      <w:rFonts w:ascii="Times New Roman" w:eastAsia="Times New Roman" w:hAnsi="Times New Roman" w:cs="Guttman-Soncino"/>
      <w:b/>
      <w:bCs/>
      <w:noProof/>
      <w:w w:val="95"/>
      <w:sz w:val="42"/>
      <w:szCs w:val="42"/>
      <w:lang w:eastAsia="he-IL"/>
    </w:rPr>
  </w:style>
  <w:style w:type="character" w:customStyle="1" w:styleId="a3">
    <w:name w:val="מרים"/>
    <w:basedOn w:val="a0"/>
    <w:rsid w:val="00FD7CD5"/>
    <w:rPr>
      <w:rFonts w:cs="Miriam"/>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2653</Characters>
  <Application>Microsoft Office Word</Application>
  <DocSecurity>0</DocSecurity>
  <Lines>43</Lines>
  <Paragraphs>50</Paragraphs>
  <ScaleCrop>false</ScaleCrop>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2017-07-24T16:54:00Z</dcterms:created>
  <dcterms:modified xsi:type="dcterms:W3CDTF">2017-07-24T16:54:00Z</dcterms:modified>
</cp:coreProperties>
</file>