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CD" w:rsidRPr="00B12BCD" w:rsidRDefault="00B12BCD" w:rsidP="00B12BCD">
      <w:pPr>
        <w:keepNext/>
        <w:pageBreakBefore/>
        <w:spacing w:before="12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B12BCD">
        <w:rPr>
          <w:rFonts w:ascii="Times New Roman" w:eastAsia="Times New Roman" w:hAnsi="Times New Roman" w:cs="Guttman-Soncino" w:hint="cs"/>
          <w:noProof/>
          <w:spacing w:val="60"/>
          <w:w w:val="95"/>
          <w:sz w:val="14"/>
          <w:szCs w:val="24"/>
          <w:rtl/>
          <w:lang w:eastAsia="he-IL"/>
        </w:rPr>
        <w:t>פרק א</w:t>
      </w:r>
    </w:p>
    <w:p w:rsidR="00B12BCD" w:rsidRPr="00B12BCD" w:rsidRDefault="00B12BCD" w:rsidP="00B12BCD">
      <w:pPr>
        <w:keepNext/>
        <w:spacing w:before="12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834"/>
      <w:r w:rsidRPr="00B12BCD">
        <w:rPr>
          <w:rFonts w:ascii="Times New Roman" w:eastAsia="Times New Roman" w:hAnsi="Times New Roman" w:cs="Guttman Hodes" w:hint="cs"/>
          <w:bCs/>
          <w:noProof/>
          <w:color w:val="333333"/>
          <w:szCs w:val="32"/>
          <w:rtl/>
          <w:lang w:eastAsia="he-IL"/>
        </w:rPr>
        <w:t xml:space="preserve">בין תרועה לתקיעה </w:t>
      </w:r>
      <w:r w:rsidRPr="00B12BCD">
        <w:rPr>
          <w:rFonts w:ascii="Times New Roman" w:eastAsia="Times New Roman" w:hAnsi="Times New Roman" w:cs="Guttman Hodes" w:hint="cs"/>
          <w:bCs/>
          <w:noProof/>
          <w:color w:val="333333"/>
          <w:sz w:val="16"/>
          <w:szCs w:val="26"/>
          <w:rtl/>
          <w:lang w:eastAsia="he-IL"/>
        </w:rPr>
        <w:t>(עיון בתושב"כ)</w:t>
      </w:r>
      <w:bookmarkEnd w:id="0"/>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עיון בכתובים מפנה להתבונן כי תרועתו של "יום תרועה"</w:t>
      </w:r>
      <w:r w:rsidRPr="00B12BCD">
        <w:rPr>
          <w:rFonts w:ascii="Times New Roman" w:eastAsia="Times New Roman" w:hAnsi="Times New Roman" w:cs="FrankRuehl"/>
          <w:noProof/>
          <w:position w:val="-5"/>
          <w:szCs w:val="26"/>
          <w:vertAlign w:val="superscript"/>
          <w:rtl/>
          <w:lang w:eastAsia="he-IL"/>
        </w:rPr>
        <w:footnoteReference w:id="1"/>
      </w:r>
      <w:r w:rsidRPr="00B12BCD">
        <w:rPr>
          <w:rFonts w:ascii="Times New Roman" w:eastAsia="Times New Roman" w:hAnsi="Times New Roman" w:cs="FrankRuehl" w:hint="cs"/>
          <w:noProof/>
          <w:szCs w:val="26"/>
          <w:rtl/>
          <w:lang w:eastAsia="he-IL"/>
        </w:rPr>
        <w:t xml:space="preserve"> אינה רק מציינת את השופר כ"מצות היום"</w:t>
      </w:r>
      <w:r w:rsidRPr="00B12BCD">
        <w:rPr>
          <w:rFonts w:ascii="Times New Roman" w:eastAsia="Times New Roman" w:hAnsi="Times New Roman" w:cs="FrankRuehl"/>
          <w:noProof/>
          <w:position w:val="-5"/>
          <w:szCs w:val="26"/>
          <w:vertAlign w:val="superscript"/>
          <w:rtl/>
          <w:lang w:eastAsia="he-IL"/>
        </w:rPr>
        <w:footnoteReference w:id="2"/>
      </w:r>
      <w:r w:rsidRPr="00B12BCD">
        <w:rPr>
          <w:rFonts w:ascii="Times New Roman" w:eastAsia="Times New Roman" w:hAnsi="Times New Roman" w:cs="FrankRuehl" w:hint="cs"/>
          <w:noProof/>
          <w:szCs w:val="26"/>
          <w:rtl/>
          <w:lang w:eastAsia="he-IL"/>
        </w:rPr>
        <w:t xml:space="preserve">, אלא מבחינה את ראש השנה כיום </w:t>
      </w:r>
      <w:r w:rsidRPr="00B12BCD">
        <w:rPr>
          <w:rFonts w:ascii="Times New Roman" w:eastAsia="Times New Roman" w:hAnsi="Times New Roman" w:cs="FrankRuehl" w:hint="cs"/>
          <w:b/>
          <w:noProof/>
          <w:szCs w:val="26"/>
          <w:rtl/>
          <w:lang w:eastAsia="he-IL"/>
        </w:rPr>
        <w:t>תרועה</w:t>
      </w:r>
      <w:r w:rsidRPr="00B12BCD">
        <w:rPr>
          <w:rFonts w:ascii="Times New Roman" w:eastAsia="Times New Roman" w:hAnsi="Times New Roman" w:cs="FrankRuehl" w:hint="cs"/>
          <w:noProof/>
          <w:szCs w:val="26"/>
          <w:rtl/>
          <w:lang w:eastAsia="he-IL"/>
        </w:rPr>
        <w:t>, לעומת כלל המועדות שהם 'ימי תקיעה'.</w:t>
      </w:r>
    </w:p>
    <w:p w:rsidR="00B12BCD" w:rsidRPr="00B12BCD" w:rsidRDefault="00B12BCD" w:rsidP="00B12BCD">
      <w:pPr>
        <w:keepNext/>
        <w:keepLines/>
        <w:spacing w:before="180" w:after="120" w:line="340" w:lineRule="exact"/>
        <w:outlineLvl w:val="5"/>
        <w:rPr>
          <w:rFonts w:ascii="Times New Roman" w:eastAsia="Times New Roman" w:hAnsi="Times New Roman" w:cs="Guttman Hodes" w:hint="cs"/>
          <w:b/>
          <w:bCs/>
          <w:noProof/>
          <w:sz w:val="20"/>
          <w:szCs w:val="26"/>
          <w:rtl/>
          <w:lang w:eastAsia="he-IL"/>
        </w:rPr>
      </w:pPr>
      <w:r w:rsidRPr="00B12BCD">
        <w:rPr>
          <w:rFonts w:ascii="Times New Roman" w:eastAsia="Times New Roman" w:hAnsi="Times New Roman" w:cs="Guttman Hodes" w:hint="cs"/>
          <w:b/>
          <w:bCs/>
          <w:noProof/>
          <w:sz w:val="20"/>
          <w:szCs w:val="26"/>
          <w:rtl/>
          <w:lang w:eastAsia="he-IL"/>
        </w:rPr>
        <w:t>חצוצרות משה והחצוצרות לדורות</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noProof/>
          <w:szCs w:val="26"/>
          <w:rtl/>
          <w:lang w:eastAsia="he-IL"/>
        </w:rPr>
        <w:t>כדי להבין ולבסס את הדברים הללו נתבונן בפרשת החצוצרות</w:t>
      </w:r>
      <w:r w:rsidRPr="00B12BCD">
        <w:rPr>
          <w:rFonts w:ascii="Times New Roman" w:eastAsia="Times New Roman" w:hAnsi="Times New Roman" w:cs="FrankRuehl"/>
          <w:noProof/>
          <w:position w:val="-5"/>
          <w:szCs w:val="26"/>
          <w:vertAlign w:val="superscript"/>
          <w:rtl/>
          <w:lang w:eastAsia="he-IL"/>
        </w:rPr>
        <w:footnoteReference w:id="3"/>
      </w:r>
      <w:r w:rsidRPr="00B12BCD">
        <w:rPr>
          <w:rFonts w:ascii="Times New Roman" w:eastAsia="Times New Roman" w:hAnsi="Times New Roman" w:cs="FrankRuehl" w:hint="cs"/>
          <w:noProof/>
          <w:szCs w:val="26"/>
          <w:rtl/>
          <w:lang w:eastAsia="he-IL"/>
        </w:rPr>
        <w:t>, ולשם כך נעתיק אותה בצורה טבלאית. כדי לקרוא ברצף יש להקדים את ג ל-ד.</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B12BCD" w:rsidRPr="00B12BCD" w:rsidTr="00842260">
        <w:tc>
          <w:tcPr>
            <w:tcW w:w="0" w:type="auto"/>
            <w:gridSpan w:val="2"/>
          </w:tcPr>
          <w:p w:rsidR="00B12BCD" w:rsidRPr="00B12BCD" w:rsidRDefault="00B12BCD" w:rsidP="00B12BCD">
            <w:pPr>
              <w:spacing w:after="0" w:line="280" w:lineRule="exact"/>
              <w:jc w:val="center"/>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noProof/>
                <w:szCs w:val="21"/>
                <w:rtl/>
                <w:lang w:eastAsia="he-IL"/>
              </w:rPr>
              <w:t>וידבר הוי' אל משה לאמר: עשה לך שתי חצוצרת כסף, מקשה תעשה אותם, והיו לך</w:t>
            </w:r>
            <w:r w:rsidRPr="00B12BCD">
              <w:rPr>
                <w:rFonts w:ascii="Times New Roman" w:eastAsia="Times New Roman" w:hAnsi="Times New Roman" w:cs="Guttman Vilna" w:hint="cs"/>
                <w:noProof/>
                <w:szCs w:val="21"/>
                <w:rtl/>
                <w:lang w:eastAsia="he-IL"/>
              </w:rPr>
              <w:t xml:space="preserve"> [א] </w:t>
            </w:r>
            <w:r w:rsidRPr="00B12BCD">
              <w:rPr>
                <w:rFonts w:ascii="Times New Roman" w:eastAsia="Times New Roman" w:hAnsi="Times New Roman" w:cs="Guttman Vilna"/>
                <w:noProof/>
                <w:szCs w:val="21"/>
                <w:rtl/>
                <w:lang w:eastAsia="he-IL"/>
              </w:rPr>
              <w:t xml:space="preserve">למקרא העדה </w:t>
            </w:r>
            <w:r w:rsidRPr="00B12BCD">
              <w:rPr>
                <w:rFonts w:ascii="Times New Roman" w:eastAsia="Times New Roman" w:hAnsi="Times New Roman" w:cs="Guttman Vilna" w:hint="cs"/>
                <w:noProof/>
                <w:szCs w:val="21"/>
                <w:rtl/>
                <w:lang w:eastAsia="he-IL"/>
              </w:rPr>
              <w:t xml:space="preserve">[ב] </w:t>
            </w:r>
            <w:r w:rsidRPr="00B12BCD">
              <w:rPr>
                <w:rFonts w:ascii="Times New Roman" w:eastAsia="Times New Roman" w:hAnsi="Times New Roman" w:cs="Guttman Vilna"/>
                <w:noProof/>
                <w:szCs w:val="21"/>
                <w:rtl/>
                <w:lang w:eastAsia="he-IL"/>
              </w:rPr>
              <w:t>ולמסע את המחנות.</w:t>
            </w:r>
          </w:p>
        </w:tc>
      </w:tr>
      <w:tr w:rsidR="00B12BCD" w:rsidRPr="00B12BCD" w:rsidTr="00842260">
        <w:tc>
          <w:tcPr>
            <w:tcW w:w="0" w:type="auto"/>
          </w:tcPr>
          <w:p w:rsidR="00B12BCD" w:rsidRPr="00B12BCD" w:rsidRDefault="00B12BCD" w:rsidP="00B12BCD">
            <w:pPr>
              <w:spacing w:after="0" w:line="280" w:lineRule="exact"/>
              <w:ind w:left="284" w:firstLine="170"/>
              <w:jc w:val="center"/>
              <w:rPr>
                <w:rFonts w:ascii="Times New Roman" w:eastAsia="Times New Roman" w:hAnsi="Times New Roman" w:cs="Guttman Vilna"/>
                <w:noProof/>
                <w:szCs w:val="21"/>
                <w:lang w:eastAsia="he-IL"/>
              </w:rPr>
            </w:pPr>
            <w:r w:rsidRPr="00B12BCD">
              <w:rPr>
                <w:rFonts w:ascii="Times New Roman" w:eastAsia="Times New Roman" w:hAnsi="Times New Roman" w:cs="Guttman Vilna" w:hint="cs"/>
                <w:noProof/>
                <w:szCs w:val="21"/>
                <w:rtl/>
                <w:lang w:eastAsia="he-IL"/>
              </w:rPr>
              <w:t>[א]</w:t>
            </w:r>
          </w:p>
          <w:p w:rsidR="00B12BCD" w:rsidRPr="00B12BCD" w:rsidRDefault="00B12BCD" w:rsidP="00B12BCD">
            <w:pPr>
              <w:spacing w:after="0" w:line="280" w:lineRule="exact"/>
              <w:jc w:val="both"/>
              <w:rPr>
                <w:rFonts w:ascii="Times New Roman" w:eastAsia="Times New Roman" w:hAnsi="Times New Roman" w:cs="Narkisim" w:hint="cs"/>
                <w:noProof/>
                <w:sz w:val="26"/>
                <w:szCs w:val="26"/>
                <w:rtl/>
                <w:lang w:eastAsia="he-IL"/>
              </w:rPr>
            </w:pPr>
            <w:r w:rsidRPr="00B12BCD">
              <w:rPr>
                <w:rFonts w:ascii="Times New Roman" w:eastAsia="Times New Roman" w:hAnsi="Times New Roman" w:cs="Guttman Vilna"/>
                <w:noProof/>
                <w:szCs w:val="21"/>
                <w:rtl/>
                <w:lang w:eastAsia="he-IL"/>
              </w:rPr>
              <w:t>ותקעו בהן ונועדו אליך כל העדה אל פתח אהל מועד. ואם באחת יתקעו, ונועדו אליך הנשיאים ראשי אלפי ישראל</w:t>
            </w:r>
          </w:p>
        </w:tc>
        <w:tc>
          <w:tcPr>
            <w:tcW w:w="0" w:type="auto"/>
          </w:tcPr>
          <w:p w:rsidR="00B12BCD" w:rsidRPr="00B12BCD" w:rsidRDefault="00B12BCD" w:rsidP="00B12BCD">
            <w:pPr>
              <w:spacing w:after="0" w:line="280" w:lineRule="exact"/>
              <w:ind w:left="284" w:firstLine="170"/>
              <w:jc w:val="center"/>
              <w:rPr>
                <w:rFonts w:ascii="Times New Roman" w:eastAsia="Times New Roman" w:hAnsi="Times New Roman" w:cs="Guttman Vilna"/>
                <w:noProof/>
                <w:szCs w:val="21"/>
                <w:lang w:eastAsia="he-IL"/>
              </w:rPr>
            </w:pPr>
            <w:r w:rsidRPr="00B12BCD">
              <w:rPr>
                <w:rFonts w:ascii="Times New Roman" w:eastAsia="Times New Roman" w:hAnsi="Times New Roman" w:cs="Guttman Vilna" w:hint="cs"/>
                <w:noProof/>
                <w:szCs w:val="21"/>
                <w:rtl/>
                <w:lang w:eastAsia="he-IL"/>
              </w:rPr>
              <w:t>[ב]</w:t>
            </w:r>
          </w:p>
          <w:p w:rsidR="00B12BCD" w:rsidRPr="00B12BCD" w:rsidRDefault="00B12BCD" w:rsidP="00B12BCD">
            <w:pPr>
              <w:spacing w:after="0" w:line="280" w:lineRule="exact"/>
              <w:jc w:val="both"/>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noProof/>
                <w:szCs w:val="21"/>
                <w:rtl/>
                <w:lang w:eastAsia="he-IL"/>
              </w:rPr>
              <w:t xml:space="preserve">ותקעתם תרועה ונסעו המחנות החנים קדמה. ותקעתם תרועה שנית ונסעו המחנות החונים תימנה, </w:t>
            </w:r>
          </w:p>
        </w:tc>
      </w:tr>
      <w:tr w:rsidR="00B12BCD" w:rsidRPr="00B12BCD" w:rsidTr="00842260">
        <w:tc>
          <w:tcPr>
            <w:tcW w:w="0" w:type="auto"/>
            <w:gridSpan w:val="2"/>
          </w:tcPr>
          <w:p w:rsidR="00B12BCD" w:rsidRPr="00B12BCD" w:rsidRDefault="00B12BCD" w:rsidP="00B12BCD">
            <w:pPr>
              <w:bidi w:val="0"/>
              <w:spacing w:after="0" w:line="280" w:lineRule="exact"/>
              <w:jc w:val="center"/>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noProof/>
                <w:szCs w:val="21"/>
                <w:rtl/>
                <w:lang w:eastAsia="he-IL"/>
              </w:rPr>
              <w:t>תרועה יתקעו למסעיהם</w:t>
            </w:r>
            <w:r w:rsidRPr="00B12BCD">
              <w:rPr>
                <w:rFonts w:ascii="Times New Roman" w:eastAsia="Times New Roman" w:hAnsi="Times New Roman" w:cs="Guttman Vilna" w:hint="cs"/>
                <w:noProof/>
                <w:szCs w:val="21"/>
                <w:rtl/>
                <w:lang w:eastAsia="he-IL"/>
              </w:rPr>
              <w:t xml:space="preserve"> [סוגר ב]</w:t>
            </w:r>
            <w:r w:rsidRPr="00B12BCD">
              <w:rPr>
                <w:rFonts w:ascii="Times New Roman" w:eastAsia="Times New Roman" w:hAnsi="Times New Roman" w:cs="Guttman Vilna"/>
                <w:noProof/>
                <w:szCs w:val="21"/>
                <w:rtl/>
                <w:lang w:eastAsia="he-IL"/>
              </w:rPr>
              <w:t xml:space="preserve">. </w:t>
            </w:r>
            <w:r w:rsidRPr="00B12BCD">
              <w:rPr>
                <w:rFonts w:ascii="Times New Roman" w:eastAsia="Times New Roman" w:hAnsi="Times New Roman" w:cs="Guttman Vilna" w:hint="cs"/>
                <w:noProof/>
                <w:szCs w:val="21"/>
                <w:rtl/>
                <w:lang w:eastAsia="he-IL"/>
              </w:rPr>
              <w:br/>
            </w:r>
            <w:r w:rsidRPr="00B12BCD">
              <w:rPr>
                <w:rFonts w:ascii="Times New Roman" w:eastAsia="Times New Roman" w:hAnsi="Times New Roman" w:cs="Guttman Vilna"/>
                <w:noProof/>
                <w:szCs w:val="21"/>
                <w:rtl/>
                <w:lang w:eastAsia="he-IL"/>
              </w:rPr>
              <w:t>ובהקהיל את הקהל תתקעו ולא תריעו</w:t>
            </w:r>
            <w:r w:rsidRPr="00B12BCD">
              <w:rPr>
                <w:rFonts w:ascii="Times New Roman" w:eastAsia="Times New Roman" w:hAnsi="Times New Roman" w:cs="Guttman Vilna" w:hint="cs"/>
                <w:noProof/>
                <w:szCs w:val="21"/>
                <w:rtl/>
                <w:lang w:eastAsia="he-IL"/>
              </w:rPr>
              <w:t xml:space="preserve"> [סוגר א]</w:t>
            </w:r>
            <w:r w:rsidRPr="00B12BCD">
              <w:rPr>
                <w:rFonts w:ascii="Times New Roman" w:eastAsia="Times New Roman" w:hAnsi="Times New Roman" w:cs="Guttman Vilna"/>
                <w:noProof/>
                <w:szCs w:val="21"/>
                <w:rtl/>
                <w:lang w:eastAsia="he-IL"/>
              </w:rPr>
              <w:t>.</w:t>
            </w:r>
          </w:p>
        </w:tc>
      </w:tr>
      <w:tr w:rsidR="00B12BCD" w:rsidRPr="00B12BCD" w:rsidTr="00842260">
        <w:tc>
          <w:tcPr>
            <w:tcW w:w="0" w:type="auto"/>
            <w:gridSpan w:val="2"/>
            <w:tcBorders>
              <w:bottom w:val="single" w:sz="4" w:space="0" w:color="auto"/>
            </w:tcBorders>
          </w:tcPr>
          <w:p w:rsidR="00B12BCD" w:rsidRPr="00B12BCD" w:rsidRDefault="00B12BCD" w:rsidP="00B12BCD">
            <w:pPr>
              <w:spacing w:after="0" w:line="280" w:lineRule="exact"/>
              <w:jc w:val="center"/>
              <w:rPr>
                <w:rFonts w:ascii="Times New Roman" w:eastAsia="Times New Roman" w:hAnsi="Times New Roman" w:cs="Guttman Vilna"/>
                <w:noProof/>
                <w:szCs w:val="21"/>
                <w:rtl/>
                <w:lang w:eastAsia="he-IL"/>
              </w:rPr>
            </w:pPr>
            <w:r w:rsidRPr="00B12BCD">
              <w:rPr>
                <w:rFonts w:ascii="Times New Roman" w:eastAsia="Times New Roman" w:hAnsi="Times New Roman" w:cs="Guttman Vilna" w:hint="cs"/>
                <w:noProof/>
                <w:szCs w:val="21"/>
                <w:rtl/>
                <w:lang w:eastAsia="he-IL"/>
              </w:rPr>
              <w:t>ובני אהרן הכהנים יתקעו בחצצרות [שייך ל א ב ג ד];</w:t>
            </w:r>
            <w:r w:rsidRPr="00B12BCD">
              <w:rPr>
                <w:rFonts w:ascii="Times New Roman" w:eastAsia="Times New Roman" w:hAnsi="Times New Roman" w:cs="Guttman Vilna"/>
                <w:noProof/>
                <w:szCs w:val="21"/>
                <w:rtl/>
                <w:lang w:eastAsia="he-IL"/>
              </w:rPr>
              <w:br/>
            </w:r>
            <w:r w:rsidRPr="00B12BCD">
              <w:rPr>
                <w:rFonts w:ascii="Times New Roman" w:eastAsia="Times New Roman" w:hAnsi="Times New Roman" w:cs="Guttman Vilna" w:hint="cs"/>
                <w:noProof/>
                <w:szCs w:val="21"/>
                <w:rtl/>
                <w:lang w:eastAsia="he-IL"/>
              </w:rPr>
              <w:t>והיו לכם לחקת עולם לדרתיכם:</w:t>
            </w:r>
          </w:p>
        </w:tc>
      </w:tr>
      <w:tr w:rsidR="00B12BCD" w:rsidRPr="00B12BCD" w:rsidTr="008422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00" w:type="pct"/>
            <w:tcBorders>
              <w:top w:val="single" w:sz="4" w:space="0" w:color="auto"/>
              <w:left w:val="single" w:sz="4" w:space="0" w:color="auto"/>
              <w:bottom w:val="single" w:sz="4" w:space="0" w:color="auto"/>
              <w:right w:val="single" w:sz="4" w:space="0" w:color="auto"/>
            </w:tcBorders>
          </w:tcPr>
          <w:p w:rsidR="00B12BCD" w:rsidRPr="00B12BCD" w:rsidRDefault="00B12BCD" w:rsidP="00B12BCD">
            <w:pPr>
              <w:spacing w:after="0" w:line="280" w:lineRule="exact"/>
              <w:ind w:left="284" w:firstLine="170"/>
              <w:jc w:val="center"/>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hint="cs"/>
                <w:noProof/>
                <w:szCs w:val="21"/>
                <w:rtl/>
                <w:lang w:eastAsia="he-IL"/>
              </w:rPr>
              <w:t xml:space="preserve"> [ד]</w:t>
            </w:r>
          </w:p>
          <w:p w:rsidR="00B12BCD" w:rsidRPr="00B12BCD" w:rsidRDefault="00B12BCD" w:rsidP="00B12BCD">
            <w:pPr>
              <w:spacing w:after="0" w:line="280" w:lineRule="exact"/>
              <w:jc w:val="both"/>
              <w:rPr>
                <w:rFonts w:ascii="Times New Roman" w:eastAsia="Times New Roman" w:hAnsi="Times New Roman" w:cs="Narkisim" w:hint="cs"/>
                <w:noProof/>
                <w:sz w:val="26"/>
                <w:szCs w:val="26"/>
                <w:rtl/>
                <w:lang w:eastAsia="he-IL"/>
              </w:rPr>
            </w:pPr>
            <w:r w:rsidRPr="00B12BCD">
              <w:rPr>
                <w:rFonts w:ascii="Times New Roman" w:eastAsia="Times New Roman" w:hAnsi="Times New Roman" w:cs="Guttman Vilna"/>
                <w:noProof/>
                <w:szCs w:val="21"/>
                <w:rtl/>
                <w:lang w:eastAsia="he-IL"/>
              </w:rPr>
              <w:t>וביום שמחתכם ובמועדיכם ובראשי חדשיכם ותקעתם בחצצרת על עלתיכם ועל זבחי שלמיכם, והיו לכם לזכרון לפני אלהיכם, אני הוי' אלהיכם.</w:t>
            </w:r>
          </w:p>
        </w:tc>
        <w:tc>
          <w:tcPr>
            <w:tcW w:w="2500" w:type="pct"/>
            <w:tcBorders>
              <w:top w:val="single" w:sz="4" w:space="0" w:color="auto"/>
              <w:left w:val="single" w:sz="4" w:space="0" w:color="auto"/>
              <w:bottom w:val="single" w:sz="4" w:space="0" w:color="auto"/>
              <w:right w:val="single" w:sz="4" w:space="0" w:color="auto"/>
            </w:tcBorders>
          </w:tcPr>
          <w:p w:rsidR="00B12BCD" w:rsidRPr="00B12BCD" w:rsidRDefault="00B12BCD" w:rsidP="00B12BCD">
            <w:pPr>
              <w:spacing w:after="0" w:line="280" w:lineRule="exact"/>
              <w:ind w:left="284" w:firstLine="170"/>
              <w:jc w:val="center"/>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hint="cs"/>
                <w:noProof/>
                <w:szCs w:val="21"/>
                <w:rtl/>
                <w:lang w:eastAsia="he-IL"/>
              </w:rPr>
              <w:t>[ג]</w:t>
            </w:r>
          </w:p>
          <w:p w:rsidR="00B12BCD" w:rsidRPr="00B12BCD" w:rsidRDefault="00B12BCD" w:rsidP="00B12BCD">
            <w:pPr>
              <w:spacing w:after="0" w:line="280" w:lineRule="exact"/>
              <w:jc w:val="both"/>
              <w:rPr>
                <w:rFonts w:ascii="Times New Roman" w:eastAsia="Times New Roman" w:hAnsi="Times New Roman" w:cs="Guttman Vilna" w:hint="cs"/>
                <w:noProof/>
                <w:szCs w:val="21"/>
                <w:rtl/>
                <w:lang w:eastAsia="he-IL"/>
              </w:rPr>
            </w:pPr>
            <w:r w:rsidRPr="00B12BCD">
              <w:rPr>
                <w:rFonts w:ascii="Times New Roman" w:eastAsia="Times New Roman" w:hAnsi="Times New Roman" w:cs="Guttman Vilna"/>
                <w:noProof/>
                <w:szCs w:val="21"/>
                <w:rtl/>
                <w:lang w:eastAsia="he-IL"/>
              </w:rPr>
              <w:t>וכי תבאו מלחמה בארצכם על הצר הצרר אתכם, והרעתם בחצצרת ונזכרתם לפני הוי' אלהיכם, ונושעתם מאיביכם.</w:t>
            </w:r>
          </w:p>
        </w:tc>
      </w:tr>
    </w:tbl>
    <w:p w:rsidR="00B12BCD" w:rsidRPr="00B12BCD" w:rsidRDefault="00B12BCD" w:rsidP="00B12BCD">
      <w:pPr>
        <w:spacing w:before="240"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נראה שהפרשה מתחלקת לשניים: בתחילה עוסקת היא בחצוצרות של משה, אלו שנצרכו להנהגת העם במדבר, ואחר כך פונה לעסוק בחצוצרות ש"היו לכם לחקת עולם לדרתיכם" (בין שני החלקים יש 'תפר' העולה כנראה לכאן ולכאן: "ובני אהרן הכהנים יתקעו בחצצרות", וידובר על כך בתחילת פרק ג). בשני החלקים מופיעה הבחנה בין תקיעה לתרועה. בחלק הראשון נאמר ש</w:t>
      </w:r>
      <w:r w:rsidRPr="00B12BCD">
        <w:rPr>
          <w:rFonts w:ascii="Times New Roman" w:eastAsia="Times New Roman" w:hAnsi="Times New Roman" w:cs="Miriam" w:hint="cs"/>
          <w:noProof/>
          <w:rtl/>
          <w:lang w:eastAsia="he-IL"/>
        </w:rPr>
        <w:t>התקיעה</w:t>
      </w:r>
      <w:r w:rsidRPr="00B12BCD">
        <w:rPr>
          <w:rFonts w:ascii="Times New Roman" w:eastAsia="Times New Roman" w:hAnsi="Times New Roman" w:cs="FrankRuehl" w:hint="cs"/>
          <w:noProof/>
          <w:szCs w:val="26"/>
          <w:rtl/>
          <w:lang w:eastAsia="he-IL"/>
        </w:rPr>
        <w:t xml:space="preserve"> היא למקרא העדה והנשיאים אל משה, אל פתח אוהל מועד, ואילו </w:t>
      </w:r>
      <w:r w:rsidRPr="00B12BCD">
        <w:rPr>
          <w:rFonts w:ascii="Times New Roman" w:eastAsia="Times New Roman" w:hAnsi="Times New Roman" w:cs="Miriam" w:hint="cs"/>
          <w:noProof/>
          <w:rtl/>
          <w:lang w:eastAsia="he-IL"/>
        </w:rPr>
        <w:t>התרועה</w:t>
      </w:r>
      <w:r w:rsidRPr="00B12BCD">
        <w:rPr>
          <w:rFonts w:ascii="Times New Roman" w:eastAsia="Times New Roman" w:hAnsi="Times New Roman" w:cs="FrankRuehl" w:hint="cs"/>
          <w:noProof/>
          <w:szCs w:val="26"/>
          <w:rtl/>
          <w:lang w:eastAsia="he-IL"/>
        </w:rPr>
        <w:t xml:space="preserve"> היא למסע המחנות, וחותם החלק במה שפתח בו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"ובהקהיל את הקהל תתקעו ולא תריעו". אלו ארועים שהם חלק מסדר היום המדברי, וברור שבארץ ישראל שוב לא יתקיימו במתכונת הזאת. לשם כך בא החלק השני, לומר כי לדורות נועדו תפקידים אחרים לתרועה ולתקיעה: בעת מלחמה </w:t>
      </w:r>
      <w:r w:rsidRPr="00B12BCD">
        <w:rPr>
          <w:rFonts w:ascii="Times New Roman" w:eastAsia="Times New Roman" w:hAnsi="Times New Roman" w:cs="Miriam" w:hint="cs"/>
          <w:noProof/>
          <w:rtl/>
          <w:lang w:eastAsia="he-IL"/>
        </w:rPr>
        <w:t>יריעו</w:t>
      </w:r>
      <w:r w:rsidRPr="00B12BCD">
        <w:rPr>
          <w:rFonts w:ascii="Times New Roman" w:eastAsia="Times New Roman" w:hAnsi="Times New Roman" w:cs="FrankRuehl" w:hint="cs"/>
          <w:noProof/>
          <w:szCs w:val="26"/>
          <w:rtl/>
          <w:lang w:eastAsia="he-IL"/>
        </w:rPr>
        <w:t xml:space="preserve"> בחצוצרות, וכך ייזכרו לפני ה' ויוושעו, ובימי שמחה ומועדים וראשי חדשים </w:t>
      </w:r>
      <w:r w:rsidRPr="00B12BCD">
        <w:rPr>
          <w:rFonts w:ascii="Times New Roman" w:eastAsia="Times New Roman" w:hAnsi="Times New Roman" w:cs="Miriam" w:hint="cs"/>
          <w:noProof/>
          <w:rtl/>
          <w:lang w:eastAsia="he-IL"/>
        </w:rPr>
        <w:t>יתקעו</w:t>
      </w:r>
      <w:r w:rsidRPr="00B12BCD">
        <w:rPr>
          <w:rFonts w:ascii="Times New Roman" w:eastAsia="Times New Roman" w:hAnsi="Times New Roman" w:cs="FrankRuehl" w:hint="cs"/>
          <w:noProof/>
          <w:szCs w:val="26"/>
          <w:rtl/>
          <w:lang w:eastAsia="he-IL"/>
        </w:rPr>
        <w:t xml:space="preserve"> על הקרבנות, וכך יזכרו הקרבנות לפני ה'.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אכן, יש גם הבדלי תוכן ולא רק הבדלי נסיבות בין שני החלקים – בחלק השני התקיעה באה כהשמעת קול מלמטה על מנת להיזכר</w:t>
      </w:r>
      <w:bookmarkStart w:id="1" w:name="_GoBack"/>
      <w:bookmarkEnd w:id="1"/>
      <w:r w:rsidRPr="00B12BCD">
        <w:rPr>
          <w:rFonts w:ascii="Times New Roman" w:eastAsia="Times New Roman" w:hAnsi="Times New Roman" w:cs="FrankRuehl" w:hint="cs"/>
          <w:noProof/>
          <w:szCs w:val="26"/>
          <w:rtl/>
          <w:lang w:eastAsia="he-IL"/>
        </w:rPr>
        <w:t xml:space="preserve"> למעלה, בעוד שבחלק הראשון תפקידנו הוא </w:t>
      </w:r>
      <w:r w:rsidRPr="00B12BCD">
        <w:rPr>
          <w:rFonts w:ascii="Times New Roman" w:eastAsia="Times New Roman" w:hAnsi="Times New Roman" w:cs="Miriam" w:hint="cs"/>
          <w:noProof/>
          <w:rtl/>
          <w:lang w:eastAsia="he-IL"/>
        </w:rPr>
        <w:t>לשמוע</w:t>
      </w:r>
      <w:r w:rsidRPr="00B12BCD">
        <w:rPr>
          <w:rFonts w:ascii="Times New Roman" w:eastAsia="Times New Roman" w:hAnsi="Times New Roman" w:cs="FrankRuehl" w:hint="cs"/>
          <w:b/>
          <w:noProof/>
          <w:szCs w:val="26"/>
          <w:rtl/>
          <w:lang w:eastAsia="he-IL"/>
        </w:rPr>
        <w:t xml:space="preserve"> </w:t>
      </w:r>
      <w:r w:rsidRPr="00B12BCD">
        <w:rPr>
          <w:rFonts w:ascii="Times New Roman" w:eastAsia="Times New Roman" w:hAnsi="Times New Roman" w:cs="FrankRuehl" w:hint="cs"/>
          <w:noProof/>
          <w:szCs w:val="26"/>
          <w:rtl/>
          <w:lang w:eastAsia="he-IL"/>
        </w:rPr>
        <w:t xml:space="preserve">את משה הקורא לנו </w:t>
      </w:r>
      <w:r w:rsidRPr="00B12BCD">
        <w:rPr>
          <w:rFonts w:ascii="Times New Roman" w:eastAsia="Times New Roman" w:hAnsi="Times New Roman" w:cs="FrankRuehl" w:hint="eastAsia"/>
          <w:noProof/>
          <w:szCs w:val="26"/>
          <w:rtl/>
          <w:lang w:eastAsia="he-IL"/>
        </w:rPr>
        <w:t>–</w:t>
      </w:r>
      <w:r w:rsidRPr="00B12BCD">
        <w:rPr>
          <w:rFonts w:ascii="Times New Roman" w:eastAsia="Times New Roman" w:hAnsi="Times New Roman" w:cs="FrankRuehl" w:hint="cs"/>
          <w:noProof/>
          <w:szCs w:val="26"/>
          <w:rtl/>
          <w:lang w:eastAsia="he-IL"/>
        </w:rPr>
        <w:t xml:space="preserve"> ונשוב לדון בהבדלים הללו לקמן (לאחר שנדון בהבדל שבין תרועה לתקיעה, ושוב, בתחילת פרק ג), אבל קודם לזה רוצים אנו לעגן יותר בכתובים את עצם החלוקה בין "חצוצרות משה" ל"חצוצרות לדורות".</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יש מקבילות רבות בין חלקו הראשון וחלקו האחרון של חומש הפקודים, דרכן משתקף יפה ההבדל בין דור המדבר לדור באי הארץ (כמו למשל ענין הפקודים עצמם, שכאשר נמנים שוב, בפרשת פינחס, נמנים הם גם למשפחותיהם, לפי שכך ינחלו את הארץ. עיין על כל הענין במאמרו של אביה הכהן במגדים ט), ואחד מן ההבדלים הללו הוא תפקיד החצוצרות. בפרשת מטות מתחילות הן לתפקד </w:t>
      </w:r>
      <w:r w:rsidRPr="00B12BCD">
        <w:rPr>
          <w:rFonts w:ascii="Times New Roman" w:eastAsia="Times New Roman" w:hAnsi="Times New Roman" w:cs="FrankRuehl" w:hint="cs"/>
          <w:noProof/>
          <w:szCs w:val="26"/>
          <w:rtl/>
          <w:lang w:eastAsia="he-IL"/>
        </w:rPr>
        <w:lastRenderedPageBreak/>
        <w:t>כחצוצרות מלחמה, ולא בידי משה אלא בידי פינחס: "וישלח א</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תם משה אלף למטה אלף למטה לצבא, א</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תם ואת פינחס בן אלעזר הכהן לצבא, וכלי הקדש וחצצרות התרועה בידו"</w:t>
      </w:r>
      <w:r w:rsidRPr="00B12BCD">
        <w:rPr>
          <w:rFonts w:ascii="Times New Roman" w:eastAsia="Times New Roman" w:hAnsi="Times New Roman" w:cs="FrankRuehl"/>
          <w:noProof/>
          <w:position w:val="-5"/>
          <w:szCs w:val="26"/>
          <w:vertAlign w:val="superscript"/>
          <w:rtl/>
          <w:lang w:eastAsia="he-IL"/>
        </w:rPr>
        <w:footnoteReference w:id="4"/>
      </w:r>
      <w:r w:rsidRPr="00B12BCD">
        <w:rPr>
          <w:rFonts w:ascii="Times New Roman" w:eastAsia="Times New Roman" w:hAnsi="Times New Roman" w:cs="FrankRuehl" w:hint="cs"/>
          <w:noProof/>
          <w:szCs w:val="26"/>
          <w:rtl/>
          <w:lang w:eastAsia="he-IL"/>
        </w:rPr>
        <w:t xml:space="preserve">. לדרכנו מובן מדוע נקראות הן חצוצרות </w:t>
      </w:r>
      <w:r w:rsidRPr="00B12BCD">
        <w:rPr>
          <w:rFonts w:ascii="Times New Roman" w:eastAsia="Times New Roman" w:hAnsi="Times New Roman" w:cs="Miriam" w:hint="cs"/>
          <w:noProof/>
          <w:rtl/>
          <w:lang w:eastAsia="he-IL"/>
        </w:rPr>
        <w:t>התרועה</w:t>
      </w:r>
      <w:r w:rsidRPr="00B12BCD">
        <w:rPr>
          <w:rFonts w:ascii="Times New Roman" w:eastAsia="Times New Roman" w:hAnsi="Times New Roman" w:cs="FrankRuehl" w:hint="cs"/>
          <w:noProof/>
          <w:szCs w:val="26"/>
          <w:rtl/>
          <w:lang w:eastAsia="he-IL"/>
        </w:rPr>
        <w:t xml:space="preserve"> דייקא, אבל האם נמצא לנו בחלק זה זכר גם לחצוצרות התקיעה? נראה שכן. מצאנו בפרשת פינחס סדר מפורט של קרבנות המועדות</w:t>
      </w:r>
      <w:r w:rsidRPr="00B12BCD">
        <w:rPr>
          <w:rFonts w:ascii="Times New Roman" w:eastAsia="Times New Roman" w:hAnsi="Times New Roman" w:cs="FrankRuehl"/>
          <w:noProof/>
          <w:position w:val="-5"/>
          <w:szCs w:val="26"/>
          <w:vertAlign w:val="superscript"/>
          <w:rtl/>
          <w:lang w:eastAsia="he-IL"/>
        </w:rPr>
        <w:footnoteReference w:id="5"/>
      </w:r>
      <w:r w:rsidRPr="00B12BCD">
        <w:rPr>
          <w:rFonts w:ascii="Times New Roman" w:eastAsia="Times New Roman" w:hAnsi="Times New Roman" w:cs="FrankRuehl" w:hint="cs"/>
          <w:noProof/>
          <w:szCs w:val="26"/>
          <w:rtl/>
          <w:lang w:eastAsia="he-IL"/>
        </w:rPr>
        <w:t>, וקשה להבין כיצד הוא משולב בתוך מה שמסופר לפניו ולאחריו, וכיצד הוא מתקשר להתכוננות לכניסה לארץ. סדר זה מזכיר בפרוטו ובחזרות שבו את סדר קרבנות הנשיאים שבחלק הראשון של ספר במדבר</w:t>
      </w:r>
      <w:r w:rsidRPr="00B12BCD">
        <w:rPr>
          <w:rFonts w:ascii="Times New Roman" w:eastAsia="Times New Roman" w:hAnsi="Times New Roman" w:cs="FrankRuehl"/>
          <w:noProof/>
          <w:position w:val="-5"/>
          <w:szCs w:val="26"/>
          <w:vertAlign w:val="superscript"/>
          <w:rtl/>
          <w:lang w:eastAsia="he-IL"/>
        </w:rPr>
        <w:footnoteReference w:id="6"/>
      </w:r>
      <w:r w:rsidRPr="00B12BCD">
        <w:rPr>
          <w:rFonts w:ascii="Times New Roman" w:eastAsia="Times New Roman" w:hAnsi="Times New Roman" w:cs="FrankRuehl" w:hint="cs"/>
          <w:noProof/>
          <w:szCs w:val="26"/>
          <w:rtl/>
          <w:lang w:eastAsia="he-IL"/>
        </w:rPr>
        <w:t>, וכפי שהסברנו, כנראה שמקביל הוא לו באיזשהו אופן. לדרכנו, קרבנות המועדות הם כנגד 'חצוצרות התקיעה שלדורות', ומקבילים לקרבנות הנשיאים, אלו שהובילו את מסע המחנות</w:t>
      </w:r>
      <w:r w:rsidRPr="00B12BCD">
        <w:rPr>
          <w:rFonts w:ascii="Times New Roman" w:eastAsia="Times New Roman" w:hAnsi="Times New Roman" w:cs="FrankRuehl"/>
          <w:noProof/>
          <w:position w:val="-5"/>
          <w:szCs w:val="26"/>
          <w:vertAlign w:val="superscript"/>
          <w:rtl/>
          <w:lang w:eastAsia="he-IL"/>
        </w:rPr>
        <w:footnoteReference w:id="7"/>
      </w:r>
      <w:r w:rsidRPr="00B12BCD">
        <w:rPr>
          <w:rFonts w:ascii="Times New Roman" w:eastAsia="Times New Roman" w:hAnsi="Times New Roman" w:cs="FrankRuehl" w:hint="cs"/>
          <w:noProof/>
          <w:szCs w:val="26"/>
          <w:rtl/>
          <w:lang w:eastAsia="he-IL"/>
        </w:rPr>
        <w:t>.</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לדרך זו תובן יפה מחלוקת התנאים בספרי על אלו קרבנות יש לתקוע: "וביום שמחתכם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אלו השבתות; ר' נתן אומר: אלו תמידין". פשט הכתוב לכאורה אינו עוסק לא בשבת, וכל שכן שלא ביום חול (ואכן איננו מתיחסים לשבת כאל יום היזכרות לפני ה', ואיננו אומרים בו תפילת "יעלה ויבוא… </w:t>
      </w:r>
      <w:r w:rsidRPr="00B12BCD">
        <w:rPr>
          <w:rFonts w:ascii="Times New Roman" w:eastAsia="Times New Roman" w:hAnsi="Times New Roman" w:cs="Miriam" w:hint="cs"/>
          <w:noProof/>
          <w:rtl/>
          <w:lang w:eastAsia="he-IL"/>
        </w:rPr>
        <w:t>ויזכר</w:t>
      </w:r>
      <w:r w:rsidRPr="00B12BCD">
        <w:rPr>
          <w:rFonts w:ascii="Times New Roman" w:eastAsia="Times New Roman" w:hAnsi="Times New Roman" w:cs="FrankRuehl" w:hint="cs"/>
          <w:noProof/>
          <w:szCs w:val="26"/>
          <w:rtl/>
          <w:lang w:eastAsia="he-IL"/>
        </w:rPr>
        <w:t>", כפי שהעיר הנצי"ב בהעמק דבר</w:t>
      </w:r>
      <w:r w:rsidRPr="00B12BCD">
        <w:rPr>
          <w:rFonts w:ascii="Times New Roman" w:eastAsia="Times New Roman" w:hAnsi="Times New Roman" w:cs="FrankRuehl"/>
          <w:noProof/>
          <w:position w:val="-5"/>
          <w:szCs w:val="26"/>
          <w:vertAlign w:val="superscript"/>
          <w:rtl/>
          <w:lang w:eastAsia="he-IL"/>
        </w:rPr>
        <w:footnoteReference w:id="8"/>
      </w:r>
      <w:r w:rsidRPr="00B12BCD">
        <w:rPr>
          <w:rFonts w:ascii="Times New Roman" w:eastAsia="Times New Roman" w:hAnsi="Times New Roman" w:cs="FrankRuehl" w:hint="cs"/>
          <w:noProof/>
          <w:szCs w:val="26"/>
          <w:rtl/>
          <w:lang w:eastAsia="he-IL"/>
        </w:rPr>
        <w:t>; וברמב"ם בספר המצוות</w:t>
      </w:r>
      <w:r w:rsidRPr="00B12BCD">
        <w:rPr>
          <w:rFonts w:ascii="Times New Roman" w:eastAsia="Times New Roman" w:hAnsi="Times New Roman" w:cs="FrankRuehl"/>
          <w:noProof/>
          <w:position w:val="-5"/>
          <w:szCs w:val="26"/>
          <w:vertAlign w:val="superscript"/>
          <w:rtl/>
          <w:lang w:eastAsia="he-IL"/>
        </w:rPr>
        <w:footnoteReference w:id="9"/>
      </w:r>
      <w:r w:rsidRPr="00B12BCD">
        <w:rPr>
          <w:rFonts w:ascii="Times New Roman" w:eastAsia="Times New Roman" w:hAnsi="Times New Roman" w:cs="FrankRuehl" w:hint="cs"/>
          <w:noProof/>
          <w:szCs w:val="26"/>
          <w:rtl/>
          <w:lang w:eastAsia="he-IL"/>
        </w:rPr>
        <w:t xml:space="preserve"> ובהלכות כלי המקדש</w:t>
      </w:r>
      <w:r w:rsidRPr="00B12BCD">
        <w:rPr>
          <w:rFonts w:ascii="Times New Roman" w:eastAsia="Times New Roman" w:hAnsi="Times New Roman" w:cs="FrankRuehl"/>
          <w:noProof/>
          <w:position w:val="-5"/>
          <w:szCs w:val="26"/>
          <w:vertAlign w:val="superscript"/>
          <w:rtl/>
          <w:lang w:eastAsia="he-IL"/>
        </w:rPr>
        <w:footnoteReference w:id="10"/>
      </w:r>
      <w:r w:rsidRPr="00B12BCD">
        <w:rPr>
          <w:rFonts w:ascii="Times New Roman" w:eastAsia="Times New Roman" w:hAnsi="Times New Roman" w:cs="FrankRuehl" w:hint="cs"/>
          <w:noProof/>
          <w:szCs w:val="26"/>
          <w:rtl/>
          <w:lang w:eastAsia="he-IL"/>
        </w:rPr>
        <w:t xml:space="preserve"> אכן משמע קצת שרק תקיעות המועדים הן דאורייתא גמורות), ומניין לרבות את אלו? לדרכנו נלמדו הם מפרשת פינחס, שם מופיעים התמידים והמוספים בראש רשימת הקרבנות הקרבים במועדם (והחולק יכול לסבור שמופיעים הם שם כהקדמה לקרבנות החגים, כפי שבפרשת אמור מופיעה השבת כראשונה למועדות, וכשונה ומסוייגת מהם</w:t>
      </w:r>
      <w:r w:rsidRPr="00B12BCD">
        <w:rPr>
          <w:rFonts w:ascii="Times New Roman" w:eastAsia="Times New Roman" w:hAnsi="Times New Roman" w:cs="FrankRuehl"/>
          <w:noProof/>
          <w:position w:val="-5"/>
          <w:szCs w:val="26"/>
          <w:vertAlign w:val="superscript"/>
          <w:rtl/>
          <w:lang w:eastAsia="he-IL"/>
        </w:rPr>
        <w:footnoteReference w:id="11"/>
      </w:r>
      <w:r w:rsidRPr="00B12BCD">
        <w:rPr>
          <w:rFonts w:ascii="Times New Roman" w:eastAsia="Times New Roman" w:hAnsi="Times New Roman" w:cs="FrankRuehl" w:hint="cs"/>
          <w:noProof/>
          <w:szCs w:val="26"/>
          <w:rtl/>
          <w:lang w:eastAsia="he-IL"/>
        </w:rPr>
        <w:t xml:space="preserve">).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והנה, לאחר כל ההבדלים בין שני החלקים שבפרשת החצוצרות, אי-אפשר להתעלם מקו ההמשכיות שנמתח בין המדבר לדורות. סוף סוף תפקידי התקיעה דומים בשני החלקים, וכן תפקידי התרועה: בחלק הראשון התקיעה מכנסת אל אהל מועד, ובשני היא מעלה לפני ה' את זכרון התוועדותם של בני ישראל סביב לקרבנותיהם</w:t>
      </w:r>
      <w:r w:rsidRPr="00B12BCD">
        <w:rPr>
          <w:rFonts w:ascii="Times New Roman" w:eastAsia="Times New Roman" w:hAnsi="Times New Roman" w:cs="FrankRuehl"/>
          <w:noProof/>
          <w:szCs w:val="26"/>
          <w:rtl/>
          <w:lang w:eastAsia="he-IL"/>
        </w:rPr>
        <w:t xml:space="preserve"> –</w:t>
      </w:r>
      <w:r w:rsidRPr="00B12BCD">
        <w:rPr>
          <w:rFonts w:ascii="Times New Roman" w:eastAsia="Times New Roman" w:hAnsi="Times New Roman" w:cs="FrankRuehl" w:hint="cs"/>
          <w:noProof/>
          <w:szCs w:val="26"/>
          <w:rtl/>
          <w:lang w:eastAsia="he-IL"/>
        </w:rPr>
        <w:t xml:space="preserve"> שעל כן נקרא שמם ימי </w:t>
      </w:r>
      <w:r w:rsidRPr="00B12BCD">
        <w:rPr>
          <w:rFonts w:ascii="Times New Roman" w:eastAsia="Times New Roman" w:hAnsi="Times New Roman" w:cs="Miriam" w:hint="cs"/>
          <w:noProof/>
          <w:rtl/>
          <w:lang w:eastAsia="he-IL"/>
        </w:rPr>
        <w:t xml:space="preserve">מועד </w:t>
      </w:r>
      <w:r w:rsidRPr="00B12BCD">
        <w:rPr>
          <w:rFonts w:ascii="Times New Roman" w:eastAsia="Times New Roman" w:hAnsi="Times New Roman" w:cs="FrankRuehl" w:hint="cs"/>
          <w:noProof/>
          <w:szCs w:val="26"/>
          <w:rtl/>
          <w:lang w:eastAsia="he-IL"/>
        </w:rPr>
        <w:t>(ו</w:t>
      </w:r>
      <w:r w:rsidRPr="00B12BCD">
        <w:rPr>
          <w:rFonts w:ascii="Times New Roman" w:eastAsia="Times New Roman" w:hAnsi="Times New Roman" w:cs="Miriam" w:hint="cs"/>
          <w:noProof/>
          <w:rtl/>
          <w:lang w:eastAsia="he-IL"/>
        </w:rPr>
        <w:t xml:space="preserve">מקראי </w:t>
      </w:r>
      <w:r w:rsidRPr="00B12BCD">
        <w:rPr>
          <w:rFonts w:ascii="Times New Roman" w:eastAsia="Times New Roman" w:hAnsi="Times New Roman" w:cs="FrankRuehl" w:hint="cs"/>
          <w:noProof/>
          <w:szCs w:val="26"/>
          <w:rtl/>
          <w:lang w:eastAsia="he-IL"/>
        </w:rPr>
        <w:t xml:space="preserve">קדש, כדלקמן); והתרועה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בחלק הראשון מעוררת למסע המחנות, ובשני היא חלק ממסע המלחמה (בסיכום: ענין החצוצרות מתחלק באופן של שתים שהן ארבע: תקיעה ותרועה במדבר ולדורות, כפי שרואים בטבלה לעיל). </w:t>
      </w:r>
    </w:p>
    <w:p w:rsidR="00B12BCD" w:rsidRPr="00B12BCD" w:rsidRDefault="00B12BCD" w:rsidP="00B12BCD">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B12BCD">
        <w:rPr>
          <w:rFonts w:ascii="Times New Roman" w:eastAsia="Times New Roman" w:hAnsi="Times New Roman" w:cs="Guttman Hodes" w:hint="cs"/>
          <w:b/>
          <w:bCs/>
          <w:noProof/>
          <w:sz w:val="20"/>
          <w:szCs w:val="26"/>
          <w:rtl/>
          <w:lang w:eastAsia="he-IL"/>
        </w:rPr>
        <w:t xml:space="preserve">יום תרועה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לאור הממצאים הללו, עוד טרם שנרד להעמיק במשמעותם, עלינו לבחון כיצד מתאפיין ראש השנה, מושא דיוננו, שמצוותו בשופר. ובכן, ראש השנה הוא גם יום תקיעה, כחלק מימי המועד, וגם יום תרועה, כפי שצוותה עליו התורה ביחוד. מעתה יעלה לנו שרש בתורה שבכתב לדברי הרמב"ן בפרשת החצוצרות כי לעתים העיקר הוא תרועה, למרות שבפועל משמיעים גם תקיעה וגם תרועה: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Guttman Vilna" w:hint="cs"/>
          <w:noProof/>
          <w:szCs w:val="21"/>
          <w:rtl/>
          <w:lang w:eastAsia="he-IL"/>
        </w:rPr>
        <w:t>כי המלחמה לתרועה</w:t>
      </w:r>
      <w:r w:rsidRPr="00B12BCD">
        <w:rPr>
          <w:rFonts w:ascii="Times New Roman" w:eastAsia="Times New Roman" w:hAnsi="Times New Roman" w:cs="Times New Roman" w:hint="cs"/>
          <w:noProof/>
          <w:szCs w:val="21"/>
          <w:rtl/>
          <w:lang w:eastAsia="he-IL"/>
        </w:rPr>
        <w:t>…</w:t>
      </w:r>
      <w:r w:rsidRPr="00B12BCD">
        <w:rPr>
          <w:rFonts w:ascii="Times New Roman" w:eastAsia="Times New Roman" w:hAnsi="Times New Roman" w:cs="Guttman Vilna" w:hint="cs"/>
          <w:noProof/>
          <w:szCs w:val="21"/>
          <w:rtl/>
          <w:lang w:eastAsia="he-IL"/>
        </w:rPr>
        <w:t xml:space="preserve"> ורבותינו העתיקו פשוטה לפניה ופשוטה לאחריה ותרועה באמצע, שלא יקצץ בנטיעות בראש השנה ויום הכפורים ועל הקרבן, אבל הכוונה </w:t>
      </w:r>
      <w:r w:rsidRPr="00B12BCD">
        <w:rPr>
          <w:rFonts w:ascii="Times New Roman" w:eastAsia="Times New Roman" w:hAnsi="Times New Roman" w:cs="Guttman Vilna" w:hint="eastAsia"/>
          <w:noProof/>
          <w:szCs w:val="21"/>
          <w:rtl/>
          <w:lang w:eastAsia="he-IL"/>
        </w:rPr>
        <w:t>–</w:t>
      </w:r>
      <w:r w:rsidRPr="00B12BCD">
        <w:rPr>
          <w:rFonts w:ascii="Times New Roman" w:eastAsia="Times New Roman" w:hAnsi="Times New Roman" w:cs="Guttman Vilna" w:hint="cs"/>
          <w:noProof/>
          <w:szCs w:val="21"/>
          <w:rtl/>
          <w:lang w:eastAsia="he-IL"/>
        </w:rPr>
        <w:t xml:space="preserve"> זו [</w:t>
      </w:r>
      <w:r w:rsidRPr="00B12BCD">
        <w:rPr>
          <w:rFonts w:ascii="Times New Roman" w:eastAsia="Times New Roman" w:hAnsi="Times New Roman" w:cs="FrankRuehl" w:hint="cs"/>
          <w:noProof/>
          <w:szCs w:val="26"/>
          <w:rtl/>
          <w:lang w:eastAsia="he-IL"/>
        </w:rPr>
        <w:t>שעל הקרבן</w:t>
      </w:r>
      <w:r w:rsidRPr="00B12BCD">
        <w:rPr>
          <w:rFonts w:ascii="Times New Roman" w:eastAsia="Times New Roman" w:hAnsi="Times New Roman" w:cs="Guttman Vilna" w:hint="cs"/>
          <w:noProof/>
          <w:szCs w:val="21"/>
          <w:rtl/>
          <w:lang w:eastAsia="he-IL"/>
        </w:rPr>
        <w:t>] לתקיעה [</w:t>
      </w:r>
      <w:r w:rsidRPr="00B12BCD">
        <w:rPr>
          <w:rFonts w:ascii="Times New Roman" w:eastAsia="Times New Roman" w:hAnsi="Times New Roman" w:cs="FrankRuehl" w:hint="cs"/>
          <w:noProof/>
          <w:szCs w:val="26"/>
          <w:rtl/>
          <w:lang w:eastAsia="he-IL"/>
        </w:rPr>
        <w:t>כלומר, שם התקיעה עיקר</w:t>
      </w:r>
      <w:r w:rsidRPr="00B12BCD">
        <w:rPr>
          <w:rFonts w:ascii="Times New Roman" w:eastAsia="Times New Roman" w:hAnsi="Times New Roman" w:cs="Guttman Vilna" w:hint="cs"/>
          <w:noProof/>
          <w:szCs w:val="21"/>
          <w:rtl/>
          <w:lang w:eastAsia="he-IL"/>
        </w:rPr>
        <w:t>], וזו [</w:t>
      </w:r>
      <w:r w:rsidRPr="00B12BCD">
        <w:rPr>
          <w:rFonts w:ascii="Times New Roman" w:eastAsia="Times New Roman" w:hAnsi="Times New Roman" w:cs="FrankRuehl" w:hint="cs"/>
          <w:noProof/>
          <w:szCs w:val="26"/>
          <w:rtl/>
          <w:lang w:eastAsia="he-IL"/>
        </w:rPr>
        <w:t>שבמלחמה</w:t>
      </w:r>
      <w:r w:rsidRPr="00B12BCD">
        <w:rPr>
          <w:rFonts w:ascii="Times New Roman" w:eastAsia="Times New Roman" w:hAnsi="Times New Roman" w:cs="Guttman Vilna" w:hint="cs"/>
          <w:noProof/>
          <w:szCs w:val="21"/>
          <w:rtl/>
          <w:lang w:eastAsia="he-IL"/>
        </w:rPr>
        <w:t>] לתרועה [</w:t>
      </w:r>
      <w:r w:rsidRPr="00B12BCD">
        <w:rPr>
          <w:rFonts w:ascii="Times New Roman" w:eastAsia="Times New Roman" w:hAnsi="Times New Roman" w:cs="FrankRuehl" w:hint="cs"/>
          <w:noProof/>
          <w:szCs w:val="26"/>
          <w:rtl/>
          <w:lang w:eastAsia="he-IL"/>
        </w:rPr>
        <w:t>שם התרועה עיקר</w:t>
      </w:r>
      <w:r w:rsidRPr="00B12BCD">
        <w:rPr>
          <w:rFonts w:ascii="Times New Roman" w:eastAsia="Times New Roman" w:hAnsi="Times New Roman" w:cs="Guttman Vilna" w:hint="cs"/>
          <w:noProof/>
          <w:szCs w:val="21"/>
          <w:rtl/>
          <w:lang w:eastAsia="he-IL"/>
        </w:rPr>
        <w:t>], והמשכיל יבין.</w:t>
      </w:r>
      <w:r w:rsidRPr="00B12BCD">
        <w:rPr>
          <w:rFonts w:ascii="Times New Roman" w:eastAsia="Times New Roman" w:hAnsi="Times New Roman" w:cs="FrankRuehl" w:hint="cs"/>
          <w:noProof/>
          <w:szCs w:val="26"/>
          <w:rtl/>
          <w:lang w:eastAsia="he-IL"/>
        </w:rPr>
        <w:t xml:space="preserve">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בהפשטה, זהו מה שנאמר בכתוב על ראש השנה. בעיקרו הוא יום תרועה, אבל אינו ניתק מלהיות יום חג ככל החגים, וככזה הוא יום תקיעה, ובמילים אחרות: התקיעה משמשת מסגרת לתרועתו, ואין מותירים את התרועה לכשעצמה.</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אבל מדוע הולם את ראש השנה להיות יום תרועה בעיקרו? ומה מקום יש להתחיל את השנה בתרועה? כדי לחדד את השאלה נשוב לפסוקים ונבדוק: איזו הקדים הכתוב? בחצוצרות משה הקדים את התקיעה, וכך מתבקש: קודם נאספים למשה, וממושמעים אליו, ומכח זה יוצאים אחר כך לדרכם. </w:t>
      </w:r>
      <w:r w:rsidRPr="00B12BCD">
        <w:rPr>
          <w:rFonts w:ascii="Times New Roman" w:eastAsia="Times New Roman" w:hAnsi="Times New Roman" w:cs="FrankRuehl" w:hint="cs"/>
          <w:noProof/>
          <w:szCs w:val="26"/>
          <w:rtl/>
          <w:lang w:eastAsia="he-IL"/>
        </w:rPr>
        <w:lastRenderedPageBreak/>
        <w:t xml:space="preserve">ואכן, גם בדרכם המשכן באמצע מסע המחנות, שכן הכל בהכוונתו, ואפשר אפילו לומר </w:t>
      </w:r>
      <w:r w:rsidRPr="00B12BCD">
        <w:rPr>
          <w:rFonts w:ascii="Times New Roman" w:eastAsia="Times New Roman" w:hAnsi="Times New Roman" w:cs="FrankRuehl" w:hint="eastAsia"/>
          <w:noProof/>
          <w:szCs w:val="26"/>
          <w:rtl/>
          <w:lang w:eastAsia="he-IL"/>
        </w:rPr>
        <w:t>–</w:t>
      </w:r>
      <w:r w:rsidRPr="00B12BCD">
        <w:rPr>
          <w:rFonts w:ascii="Times New Roman" w:eastAsia="Times New Roman" w:hAnsi="Times New Roman" w:cs="FrankRuehl" w:hint="cs"/>
          <w:noProof/>
          <w:szCs w:val="26"/>
          <w:rtl/>
          <w:lang w:eastAsia="he-IL"/>
        </w:rPr>
        <w:t xml:space="preserve"> סובב סביבו. לעומת זאת, בחצוצרות לדורות נראה הסדר שונה: החגים הם הרגיעה וההתאוששות וההודיה שבאות לאחר שנענה ה' ומושיע במאבקי החיים ומצוקותיהם.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לאור זה, מדוע </w:t>
      </w:r>
      <w:r w:rsidRPr="00B12BCD">
        <w:rPr>
          <w:rFonts w:ascii="Times New Roman" w:eastAsia="Times New Roman" w:hAnsi="Times New Roman" w:cs="Miriam" w:hint="cs"/>
          <w:noProof/>
          <w:rtl/>
          <w:lang w:eastAsia="he-IL"/>
        </w:rPr>
        <w:t>ראש</w:t>
      </w:r>
      <w:r w:rsidRPr="00B12BCD">
        <w:rPr>
          <w:rFonts w:ascii="Times New Roman" w:eastAsia="Times New Roman" w:hAnsi="Times New Roman" w:cs="FrankRuehl" w:hint="cs"/>
          <w:b/>
          <w:noProof/>
          <w:szCs w:val="26"/>
          <w:rtl/>
          <w:lang w:eastAsia="he-IL"/>
        </w:rPr>
        <w:t xml:space="preserve"> </w:t>
      </w:r>
      <w:r w:rsidRPr="00B12BCD">
        <w:rPr>
          <w:rFonts w:ascii="Times New Roman" w:eastAsia="Times New Roman" w:hAnsi="Times New Roman" w:cs="FrankRuehl" w:hint="cs"/>
          <w:noProof/>
          <w:szCs w:val="26"/>
          <w:rtl/>
          <w:lang w:eastAsia="he-IL"/>
        </w:rPr>
        <w:t xml:space="preserve">השנה הוא יום תרועה דוקא? לכאורה התרועה היא פרי הסתבכות וכניסה למצוקה, ואילו ראשית השנה היא פתיחת דף חדש, היזכרות בבריאת העולם מן האין, ומתאים היה לפיכך לשים את התקיעה לעיקר, להתכנס ולהיוועד בתוך נקודה בראשיתית פשוטה ואחדותית, ומדוע מריעים אנו להיוושע?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כדי להתבונן בזה נשים לב שראש השנה הוא גם האחד לחודש השביעי. כביכול, מחוץ לזה שפותח הוא את "ראשית השנה", ועומד בפתח השנה החקלאית המיחלת שישקיף ה' עליה לטובה (כדברי הכתוב "למטר השמים תשתה מים, עיני הוי</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אלהיך בה מרשית השנה ועד אחרית שנה"</w:t>
      </w:r>
      <w:r w:rsidRPr="00B12BCD">
        <w:rPr>
          <w:rFonts w:ascii="Times New Roman" w:eastAsia="Times New Roman" w:hAnsi="Times New Roman" w:cs="FrankRuehl"/>
          <w:noProof/>
          <w:position w:val="-5"/>
          <w:szCs w:val="26"/>
          <w:vertAlign w:val="superscript"/>
          <w:rtl/>
          <w:lang w:eastAsia="he-IL"/>
        </w:rPr>
        <w:footnoteReference w:id="12"/>
      </w:r>
      <w:r w:rsidRPr="00B12BCD">
        <w:rPr>
          <w:rFonts w:ascii="Times New Roman" w:eastAsia="Times New Roman" w:hAnsi="Times New Roman" w:cs="FrankRuehl" w:hint="cs"/>
          <w:noProof/>
          <w:szCs w:val="26"/>
          <w:rtl/>
          <w:lang w:eastAsia="he-IL"/>
        </w:rPr>
        <w:t xml:space="preserve">), פותח הוא גם את החדש השביעי שהחג הגדול שבמרכזו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חג הסוכות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הוא החג </w:t>
      </w:r>
      <w:r w:rsidRPr="00B12BCD">
        <w:rPr>
          <w:rFonts w:ascii="Times New Roman" w:eastAsia="Times New Roman" w:hAnsi="Times New Roman" w:cs="Miriam" w:hint="cs"/>
          <w:noProof/>
          <w:rtl/>
          <w:lang w:eastAsia="he-IL"/>
        </w:rPr>
        <w:t>החותם</w:t>
      </w:r>
      <w:r w:rsidRPr="00B12BCD">
        <w:rPr>
          <w:rFonts w:ascii="Times New Roman" w:eastAsia="Times New Roman" w:hAnsi="Times New Roman" w:cs="FrankRuehl" w:hint="cs"/>
          <w:noProof/>
          <w:szCs w:val="26"/>
          <w:rtl/>
          <w:lang w:eastAsia="he-IL"/>
        </w:rPr>
        <w:t xml:space="preserve"> את מערכת חגי התורה (כדרך השביעין החביבים</w:t>
      </w:r>
      <w:r w:rsidRPr="00B12BCD">
        <w:rPr>
          <w:rFonts w:ascii="Times New Roman" w:eastAsia="Times New Roman" w:hAnsi="Times New Roman" w:cs="FrankRuehl"/>
          <w:noProof/>
          <w:position w:val="-5"/>
          <w:szCs w:val="26"/>
          <w:vertAlign w:val="superscript"/>
          <w:rtl/>
          <w:lang w:eastAsia="he-IL"/>
        </w:rPr>
        <w:footnoteReference w:id="13"/>
      </w:r>
      <w:r w:rsidRPr="00B12BCD">
        <w:rPr>
          <w:rFonts w:ascii="Times New Roman" w:eastAsia="Times New Roman" w:hAnsi="Times New Roman" w:cs="FrankRuehl" w:hint="cs"/>
          <w:noProof/>
          <w:szCs w:val="26"/>
          <w:rtl/>
          <w:lang w:eastAsia="he-IL"/>
        </w:rPr>
        <w:t>). נראה שזו כוונת הכתוב "תקעו בחדש שופר, בכסה ליום חגנו"</w:t>
      </w:r>
      <w:r w:rsidRPr="00B12BCD">
        <w:rPr>
          <w:rFonts w:ascii="Times New Roman" w:eastAsia="Times New Roman" w:hAnsi="Times New Roman" w:cs="FrankRuehl"/>
          <w:noProof/>
          <w:position w:val="-5"/>
          <w:szCs w:val="26"/>
          <w:vertAlign w:val="superscript"/>
          <w:rtl/>
          <w:lang w:eastAsia="he-IL"/>
        </w:rPr>
        <w:footnoteReference w:id="14"/>
      </w:r>
      <w:r w:rsidRPr="00B12BCD">
        <w:rPr>
          <w:rFonts w:ascii="Times New Roman" w:eastAsia="Times New Roman" w:hAnsi="Times New Roman" w:cs="FrankRuehl" w:hint="cs"/>
          <w:noProof/>
          <w:szCs w:val="26"/>
          <w:rtl/>
          <w:lang w:eastAsia="he-IL"/>
        </w:rPr>
        <w:t xml:space="preserve">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תקעו ביום החדש שהלבנה מתכסה בו לקראת יום חגנו, שהרי סתם חג הוא סכות, ולא מצאנו בכתובים שימי מועד שאינם רגלים ייקראו חג. אפשר שכמו שמצינו ביחזקאל</w:t>
      </w:r>
      <w:r w:rsidRPr="00B12BCD">
        <w:rPr>
          <w:rFonts w:ascii="Times New Roman" w:eastAsia="Times New Roman" w:hAnsi="Times New Roman" w:cs="FrankRuehl"/>
          <w:noProof/>
          <w:position w:val="-5"/>
          <w:szCs w:val="26"/>
          <w:vertAlign w:val="superscript"/>
          <w:rtl/>
          <w:lang w:eastAsia="he-IL"/>
        </w:rPr>
        <w:footnoteReference w:id="15"/>
      </w:r>
      <w:r w:rsidRPr="00B12BCD">
        <w:rPr>
          <w:rFonts w:ascii="Times New Roman" w:eastAsia="Times New Roman" w:hAnsi="Times New Roman" w:cs="FrankRuehl" w:hint="cs"/>
          <w:noProof/>
          <w:szCs w:val="26"/>
          <w:rtl/>
          <w:lang w:eastAsia="he-IL"/>
        </w:rPr>
        <w:t xml:space="preserve"> שלפני חג הפסח צריך לחטא את המקדש ולכפר את הבית, כך ראש השנה ויום הכפורים הם הכנות לחג הגדול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חג הסכות (ולפעמים ההכנה עליונה יותר מהתוצאה, כמו שה</w:t>
      </w:r>
      <w:r w:rsidRPr="00B12BCD">
        <w:rPr>
          <w:rFonts w:ascii="Times New Roman" w:eastAsia="Times New Roman" w:hAnsi="Times New Roman" w:cs="Miriam" w:hint="cs"/>
          <w:noProof/>
          <w:rtl/>
          <w:lang w:eastAsia="he-IL"/>
        </w:rPr>
        <w:t>רצוא</w:t>
      </w:r>
      <w:r w:rsidRPr="00B12BCD">
        <w:rPr>
          <w:rFonts w:ascii="Times New Roman" w:eastAsia="Times New Roman" w:hAnsi="Times New Roman" w:cs="FrankRuehl" w:hint="cs"/>
          <w:b/>
          <w:noProof/>
          <w:szCs w:val="26"/>
          <w:rtl/>
          <w:lang w:eastAsia="he-IL"/>
        </w:rPr>
        <w:t xml:space="preserve"> </w:t>
      </w:r>
      <w:r w:rsidRPr="00B12BCD">
        <w:rPr>
          <w:rFonts w:ascii="Times New Roman" w:eastAsia="Times New Roman" w:hAnsi="Times New Roman" w:cs="FrankRuehl" w:hint="cs"/>
          <w:noProof/>
          <w:szCs w:val="26"/>
          <w:rtl/>
          <w:lang w:eastAsia="he-IL"/>
        </w:rPr>
        <w:t>עליון מה</w:t>
      </w:r>
      <w:r w:rsidRPr="00B12BCD">
        <w:rPr>
          <w:rFonts w:ascii="Times New Roman" w:eastAsia="Times New Roman" w:hAnsi="Times New Roman" w:cs="Miriam" w:hint="cs"/>
          <w:noProof/>
          <w:rtl/>
          <w:lang w:eastAsia="he-IL"/>
        </w:rPr>
        <w:t>שוב</w:t>
      </w:r>
      <w:r w:rsidRPr="00B12BCD">
        <w:rPr>
          <w:rFonts w:ascii="Times New Roman" w:eastAsia="Times New Roman" w:hAnsi="Times New Roman" w:cs="FrankRuehl" w:hint="cs"/>
          <w:noProof/>
          <w:szCs w:val="26"/>
          <w:rtl/>
          <w:lang w:eastAsia="he-IL"/>
        </w:rPr>
        <w:t>, וכמו שה</w:t>
      </w:r>
      <w:r w:rsidRPr="00B12BCD">
        <w:rPr>
          <w:rFonts w:ascii="Times New Roman" w:eastAsia="Times New Roman" w:hAnsi="Times New Roman" w:cs="Miriam" w:hint="cs"/>
          <w:noProof/>
          <w:rtl/>
          <w:lang w:eastAsia="he-IL"/>
        </w:rPr>
        <w:t>הבדלה</w:t>
      </w:r>
      <w:r w:rsidRPr="00B12BCD">
        <w:rPr>
          <w:rFonts w:ascii="Times New Roman" w:eastAsia="Times New Roman" w:hAnsi="Times New Roman" w:cs="FrankRuehl" w:hint="cs"/>
          <w:noProof/>
          <w:szCs w:val="26"/>
          <w:rtl/>
          <w:lang w:eastAsia="he-IL"/>
        </w:rPr>
        <w:t xml:space="preserve"> עליונה יותר מה</w:t>
      </w:r>
      <w:r w:rsidRPr="00B12BCD">
        <w:rPr>
          <w:rFonts w:ascii="Times New Roman" w:eastAsia="Times New Roman" w:hAnsi="Times New Roman" w:cs="Miriam" w:hint="cs"/>
          <w:noProof/>
          <w:rtl/>
          <w:lang w:eastAsia="he-IL"/>
        </w:rPr>
        <w:t>המתקה</w:t>
      </w:r>
      <w:r w:rsidRPr="00B12BCD">
        <w:rPr>
          <w:rFonts w:ascii="Times New Roman" w:eastAsia="Times New Roman" w:hAnsi="Times New Roman" w:cs="FrankRuehl" w:hint="cs"/>
          <w:noProof/>
          <w:szCs w:val="26"/>
          <w:rtl/>
          <w:lang w:eastAsia="he-IL"/>
        </w:rPr>
        <w:t xml:space="preserve"> בסדר </w:t>
      </w:r>
      <w:r w:rsidRPr="00B12BCD">
        <w:rPr>
          <w:rFonts w:ascii="Times New Roman" w:eastAsia="Times New Roman" w:hAnsi="Times New Roman" w:cs="Miriam" w:hint="cs"/>
          <w:noProof/>
          <w:rtl/>
          <w:lang w:eastAsia="he-IL"/>
        </w:rPr>
        <w:t xml:space="preserve">הכנעה הבדלה והמתקה </w:t>
      </w:r>
      <w:r w:rsidRPr="00B12BCD">
        <w:rPr>
          <w:rFonts w:ascii="Times New Roman" w:eastAsia="Times New Roman" w:hAnsi="Times New Roman" w:cs="FrankRuehl" w:hint="cs"/>
          <w:noProof/>
          <w:szCs w:val="26"/>
          <w:rtl/>
          <w:lang w:eastAsia="he-IL"/>
        </w:rPr>
        <w:t>שטבע הבעש"ט בעבודת ה'</w:t>
      </w:r>
      <w:r w:rsidRPr="00B12BCD">
        <w:rPr>
          <w:rFonts w:ascii="Times New Roman" w:eastAsia="Times New Roman" w:hAnsi="Times New Roman" w:cs="FrankRuehl"/>
          <w:noProof/>
          <w:position w:val="-5"/>
          <w:szCs w:val="26"/>
          <w:vertAlign w:val="superscript"/>
          <w:rtl/>
          <w:lang w:eastAsia="he-IL"/>
        </w:rPr>
        <w:footnoteReference w:id="16"/>
      </w:r>
      <w:r w:rsidRPr="00B12BCD">
        <w:rPr>
          <w:rFonts w:ascii="Times New Roman" w:eastAsia="Times New Roman" w:hAnsi="Times New Roman" w:cs="FrankRuehl" w:hint="cs"/>
          <w:noProof/>
          <w:szCs w:val="26"/>
          <w:rtl/>
          <w:lang w:eastAsia="he-IL"/>
        </w:rPr>
        <w:t>). כלומר, בעמדנו בפתחו של חג בו מצפים להשראת שכינה ולשמחה של "שאיבת רוח הקודש"</w:t>
      </w:r>
      <w:r w:rsidRPr="00B12BCD">
        <w:rPr>
          <w:rFonts w:ascii="Times New Roman" w:eastAsia="Times New Roman" w:hAnsi="Times New Roman" w:cs="FrankRuehl"/>
          <w:noProof/>
          <w:position w:val="-5"/>
          <w:szCs w:val="26"/>
          <w:vertAlign w:val="superscript"/>
          <w:rtl/>
          <w:lang w:eastAsia="he-IL"/>
        </w:rPr>
        <w:footnoteReference w:id="17"/>
      </w:r>
      <w:r w:rsidRPr="00B12BCD">
        <w:rPr>
          <w:rFonts w:ascii="Times New Roman" w:eastAsia="Times New Roman" w:hAnsi="Times New Roman" w:cs="FrankRuehl" w:hint="cs"/>
          <w:noProof/>
          <w:szCs w:val="26"/>
          <w:rtl/>
          <w:lang w:eastAsia="he-IL"/>
        </w:rPr>
        <w:t>, נזכרים אנו שאיננו רק כלי ריק המצפה להתמלא, אלא הננו שברי כלים שאינם ראויים לקלוט. איננו באפס אלא במינוס. "ואל יב</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א בכל עת אל הקדש… בזאת יב</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א אהרן אל הקדש… בפר בן בקר לחטאת… וכפר על הקדש מטֻמא</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ת בני ישראל ומפשעיהם לכל חט</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אתם, וכן יעשה לאהל מועד השכן אתם בתוך טֻמא</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תם"</w:t>
      </w:r>
      <w:r w:rsidRPr="00B12BCD">
        <w:rPr>
          <w:rFonts w:ascii="Times New Roman" w:eastAsia="Times New Roman" w:hAnsi="Times New Roman" w:cs="FrankRuehl"/>
          <w:noProof/>
          <w:position w:val="-5"/>
          <w:szCs w:val="26"/>
          <w:vertAlign w:val="superscript"/>
          <w:rtl/>
          <w:lang w:eastAsia="he-IL"/>
        </w:rPr>
        <w:footnoteReference w:id="18"/>
      </w:r>
      <w:r w:rsidRPr="00B12BCD">
        <w:rPr>
          <w:rFonts w:ascii="Times New Roman" w:eastAsia="Times New Roman" w:hAnsi="Times New Roman" w:cs="FrankRuehl" w:hint="cs"/>
          <w:noProof/>
          <w:szCs w:val="26"/>
          <w:rtl/>
          <w:lang w:eastAsia="he-IL"/>
        </w:rPr>
        <w:t>. ה' שוכן אמנם בתוך טומאותינו, אבל אינו מוכן להשלים עם זה, ודורש לחטא את הקודש.</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צורך זה מתעורר בחדש השביעי יותר מאשר בחדש הראשון, כי כביכול כבר הספקנו לצבור אבק ולכלוך ב'ששת חדשי המעשה', אבל, כפי שראינו ביחזקאל, תודעת התשובה שייכת גם בחודש הראשון</w:t>
      </w:r>
      <w:r w:rsidRPr="00B12BCD">
        <w:rPr>
          <w:rFonts w:ascii="Times New Roman" w:eastAsia="Times New Roman" w:hAnsi="Times New Roman" w:cs="FrankRuehl"/>
          <w:noProof/>
          <w:position w:val="-5"/>
          <w:szCs w:val="26"/>
          <w:vertAlign w:val="superscript"/>
          <w:rtl/>
          <w:lang w:eastAsia="he-IL"/>
        </w:rPr>
        <w:footnoteReference w:id="19"/>
      </w:r>
      <w:r w:rsidRPr="00B12BCD">
        <w:rPr>
          <w:rFonts w:ascii="Times New Roman" w:eastAsia="Times New Roman" w:hAnsi="Times New Roman" w:cs="FrankRuehl" w:hint="cs"/>
          <w:noProof/>
          <w:szCs w:val="26"/>
          <w:rtl/>
          <w:lang w:eastAsia="he-IL"/>
        </w:rPr>
        <w:t xml:space="preserve">.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לאור זה, אם נחזור להתבונן על ראש השנה כעל שיחזור יום בריאת העולם, נבין מעתה שאין כאן התחדשות פשוטה ששוכחת את העבר. איננו מתחילים את השנה במין רעננות ילדותית המתרוננת ומסתקרנת לקראת החדש. יום תרועה פירושו שאנו מתחילים במינוס, שהרצון להתחדשות והצורך בהתחדשות מתעוררים על רקע היקלעות למצוקה, ל</w:t>
      </w:r>
      <w:r w:rsidRPr="00B12BCD">
        <w:rPr>
          <w:rFonts w:ascii="Times New Roman" w:eastAsia="Times New Roman" w:hAnsi="Times New Roman" w:cs="Miriam" w:hint="cs"/>
          <w:noProof/>
          <w:rtl/>
          <w:lang w:eastAsia="he-IL"/>
        </w:rPr>
        <w:t>חוסר מוצא</w:t>
      </w:r>
      <w:r w:rsidRPr="00B12BCD">
        <w:rPr>
          <w:rFonts w:ascii="Times New Roman" w:eastAsia="Times New Roman" w:hAnsi="Times New Roman" w:cs="FrankRuehl" w:hint="cs"/>
          <w:noProof/>
          <w:szCs w:val="26"/>
          <w:rtl/>
          <w:lang w:eastAsia="he-IL"/>
        </w:rPr>
        <w:t>. ומי שיעמיק יותר, יגלה שלא רק אנחנו כך, לאחר שהעולם כבר עבר מה שעבר, ונפל לאן שנפל, אלא שמלכתחילה הכל פותח במין דיעבד. הרמב"ן הסביר</w:t>
      </w:r>
      <w:r w:rsidRPr="00B12BCD">
        <w:rPr>
          <w:rFonts w:ascii="Times New Roman" w:eastAsia="Times New Roman" w:hAnsi="Times New Roman" w:cs="FrankRuehl"/>
          <w:noProof/>
          <w:position w:val="-5"/>
          <w:szCs w:val="26"/>
          <w:vertAlign w:val="superscript"/>
          <w:rtl/>
          <w:lang w:eastAsia="he-IL"/>
        </w:rPr>
        <w:footnoteReference w:id="20"/>
      </w:r>
      <w:r w:rsidRPr="00B12BCD">
        <w:rPr>
          <w:rFonts w:ascii="Times New Roman" w:eastAsia="Times New Roman" w:hAnsi="Times New Roman" w:cs="FrankRuehl" w:hint="cs"/>
          <w:noProof/>
          <w:szCs w:val="26"/>
          <w:rtl/>
          <w:lang w:eastAsia="he-IL"/>
        </w:rPr>
        <w:t xml:space="preserve"> ששרש </w:t>
      </w:r>
      <w:r w:rsidRPr="00B12BCD">
        <w:rPr>
          <w:rFonts w:ascii="Times New Roman" w:eastAsia="Times New Roman" w:hAnsi="Times New Roman" w:cs="Miriam" w:hint="cs"/>
          <w:noProof/>
          <w:rtl/>
          <w:lang w:eastAsia="he-IL"/>
        </w:rPr>
        <w:t>ברא</w:t>
      </w:r>
      <w:r w:rsidRPr="00B12BCD">
        <w:rPr>
          <w:rFonts w:ascii="Times New Roman" w:eastAsia="Times New Roman" w:hAnsi="Times New Roman" w:cs="FrankRuehl" w:hint="cs"/>
          <w:noProof/>
          <w:szCs w:val="26"/>
          <w:rtl/>
          <w:lang w:eastAsia="he-IL"/>
        </w:rPr>
        <w:t xml:space="preserve"> מכוון לעשיה </w:t>
      </w:r>
      <w:r w:rsidRPr="00B12BCD">
        <w:rPr>
          <w:rFonts w:ascii="Times New Roman" w:eastAsia="Times New Roman" w:hAnsi="Times New Roman" w:cs="Miriam" w:hint="cs"/>
          <w:noProof/>
          <w:rtl/>
          <w:lang w:eastAsia="he-IL"/>
        </w:rPr>
        <w:t>יש מאין</w:t>
      </w:r>
      <w:r w:rsidRPr="00B12BCD">
        <w:rPr>
          <w:rFonts w:ascii="Times New Roman" w:eastAsia="Times New Roman" w:hAnsi="Times New Roman" w:cs="FrankRuehl" w:hint="cs"/>
          <w:noProof/>
          <w:szCs w:val="26"/>
          <w:rtl/>
          <w:lang w:eastAsia="he-IL"/>
        </w:rPr>
        <w:t xml:space="preserve">, וכך נברא העולם, אבל החסידים הסבירו, בעקבות המקובלים, שלשון </w:t>
      </w:r>
      <w:r w:rsidRPr="00B12BCD">
        <w:rPr>
          <w:rFonts w:ascii="Times New Roman" w:eastAsia="Times New Roman" w:hAnsi="Times New Roman" w:cs="Miriam" w:hint="cs"/>
          <w:noProof/>
          <w:rtl/>
          <w:lang w:eastAsia="he-IL"/>
        </w:rPr>
        <w:t>ברא</w:t>
      </w:r>
      <w:r w:rsidRPr="00B12BCD">
        <w:rPr>
          <w:rFonts w:ascii="Times New Roman" w:eastAsia="Times New Roman" w:hAnsi="Times New Roman" w:cs="FrankRuehl" w:hint="cs"/>
          <w:noProof/>
          <w:szCs w:val="26"/>
          <w:rtl/>
          <w:lang w:eastAsia="he-IL"/>
        </w:rPr>
        <w:t xml:space="preserve"> נופל גם על לשון </w:t>
      </w:r>
      <w:r w:rsidRPr="00B12BCD">
        <w:rPr>
          <w:rFonts w:ascii="Times New Roman" w:eastAsia="Times New Roman" w:hAnsi="Times New Roman" w:cs="Miriam" w:hint="cs"/>
          <w:noProof/>
          <w:rtl/>
          <w:lang w:eastAsia="he-IL"/>
        </w:rPr>
        <w:t>הבריא</w:t>
      </w:r>
      <w:r w:rsidRPr="00B12BCD">
        <w:rPr>
          <w:rFonts w:ascii="Times New Roman" w:eastAsia="Times New Roman" w:hAnsi="Times New Roman" w:cs="FrankRuehl" w:hint="cs"/>
          <w:noProof/>
          <w:szCs w:val="26"/>
          <w:rtl/>
          <w:lang w:eastAsia="he-IL"/>
        </w:rPr>
        <w:t xml:space="preserve">, וכבר מההתחלה חומר הגלם של המציאות הוא שברי כלים שצריך לרפא ולשקם אותם.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lastRenderedPageBreak/>
        <w:t>יוצא שהסדר של ארץ ישראל ולדורות, לפיו מקדימים תרועה לתקיעה, הוא המקביל לפתיחת השנה בתרועה, מה שעולה בקנה אחד עם הבנת חז"ל</w:t>
      </w:r>
      <w:r w:rsidRPr="00B12BCD">
        <w:rPr>
          <w:rFonts w:ascii="Times New Roman" w:eastAsia="Times New Roman" w:hAnsi="Times New Roman" w:cs="FrankRuehl"/>
          <w:noProof/>
          <w:position w:val="-5"/>
          <w:szCs w:val="26"/>
          <w:vertAlign w:val="superscript"/>
          <w:rtl/>
          <w:lang w:eastAsia="he-IL"/>
        </w:rPr>
        <w:footnoteReference w:id="21"/>
      </w:r>
      <w:r w:rsidRPr="00B12BCD">
        <w:rPr>
          <w:rFonts w:ascii="Times New Roman" w:eastAsia="Times New Roman" w:hAnsi="Times New Roman" w:cs="FrankRuehl" w:hint="cs"/>
          <w:noProof/>
          <w:szCs w:val="26"/>
          <w:rtl/>
          <w:lang w:eastAsia="he-IL"/>
        </w:rPr>
        <w:t xml:space="preserve"> כי מדובר על ראש השנה בפסוק המתאר את מעלתה של ארץ ישראל </w:t>
      </w:r>
      <w:r w:rsidRPr="00B12BCD">
        <w:rPr>
          <w:rFonts w:ascii="Times New Roman" w:eastAsia="Times New Roman" w:hAnsi="Times New Roman" w:cs="FrankRuehl" w:hint="eastAsia"/>
          <w:noProof/>
          <w:szCs w:val="26"/>
          <w:rtl/>
          <w:lang w:eastAsia="he-IL"/>
        </w:rPr>
        <w:t>–</w:t>
      </w:r>
      <w:r w:rsidRPr="00B12BCD">
        <w:rPr>
          <w:rFonts w:ascii="Times New Roman" w:eastAsia="Times New Roman" w:hAnsi="Times New Roman" w:cs="FrankRuehl" w:hint="cs"/>
          <w:noProof/>
          <w:szCs w:val="26"/>
          <w:rtl/>
          <w:lang w:eastAsia="he-IL"/>
        </w:rPr>
        <w:t xml:space="preserve"> "ארץ אשר הוי</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אלהיך ד</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רש א</w:t>
      </w:r>
      <w:r w:rsidRPr="00B12BCD">
        <w:rPr>
          <w:rFonts w:ascii="Times New Roman" w:eastAsia="Times New Roman" w:hAnsi="Times New Roman" w:cs="FrankRuehl" w:hint="cs"/>
          <w:noProof/>
          <w:spacing w:val="-100"/>
          <w:szCs w:val="26"/>
          <w:rtl/>
          <w:lang w:eastAsia="he-IL"/>
        </w:rPr>
        <w:t>ֹ</w:t>
      </w:r>
      <w:r w:rsidRPr="00B12BCD">
        <w:rPr>
          <w:rFonts w:ascii="Times New Roman" w:eastAsia="Times New Roman" w:hAnsi="Times New Roman" w:cs="FrankRuehl" w:hint="cs"/>
          <w:noProof/>
          <w:szCs w:val="26"/>
          <w:rtl/>
          <w:lang w:eastAsia="he-IL"/>
        </w:rPr>
        <w:t>תה תמיד עיני הוי</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אלהיך בה מ</w:t>
      </w:r>
      <w:r w:rsidRPr="00B12BCD">
        <w:rPr>
          <w:rFonts w:ascii="Times New Roman" w:eastAsia="Times New Roman" w:hAnsi="Times New Roman" w:cs="Miriam" w:hint="cs"/>
          <w:noProof/>
          <w:rtl/>
          <w:lang w:eastAsia="he-IL"/>
        </w:rPr>
        <w:t>רשית השנה</w:t>
      </w:r>
      <w:r w:rsidRPr="00B12BCD">
        <w:rPr>
          <w:rFonts w:ascii="Times New Roman" w:eastAsia="Times New Roman" w:hAnsi="Times New Roman" w:cs="FrankRuehl" w:hint="cs"/>
          <w:noProof/>
          <w:szCs w:val="26"/>
          <w:rtl/>
          <w:lang w:eastAsia="he-IL"/>
        </w:rPr>
        <w:t xml:space="preserve"> ועד אחרית שנה"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"רשית השנה" היינו ראש השנה (לעומת זה, הסדר שבדורו של משה, לפיו הכל מתחיל בתקיעה, רומז ל'סדר המוחלט', הנכון עקרונית, ולשלמות האלקית היציבה שבתשתית הכל).</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לאור האמור נוכל גם להעמיק בשופר של יובל. גם הוא "שופר תרועה"</w:t>
      </w:r>
      <w:r w:rsidRPr="00B12BCD">
        <w:rPr>
          <w:rFonts w:ascii="Times New Roman" w:eastAsia="Times New Roman" w:hAnsi="Times New Roman" w:cs="FrankRuehl"/>
          <w:noProof/>
          <w:position w:val="-5"/>
          <w:szCs w:val="26"/>
          <w:vertAlign w:val="superscript"/>
          <w:rtl/>
          <w:lang w:eastAsia="he-IL"/>
        </w:rPr>
        <w:footnoteReference w:id="22"/>
      </w:r>
      <w:r w:rsidRPr="00B12BCD">
        <w:rPr>
          <w:rFonts w:ascii="Times New Roman" w:eastAsia="Times New Roman" w:hAnsi="Times New Roman" w:cs="FrankRuehl" w:hint="cs"/>
          <w:noProof/>
          <w:szCs w:val="26"/>
          <w:rtl/>
          <w:lang w:eastAsia="he-IL"/>
        </w:rPr>
        <w:t xml:space="preserve">, וכל השנה נקראת על שמו, או על שם התנועה בה </w:t>
      </w:r>
      <w:r w:rsidRPr="00B12BCD">
        <w:rPr>
          <w:rFonts w:ascii="Times New Roman" w:eastAsia="Times New Roman" w:hAnsi="Times New Roman" w:cs="Miriam" w:hint="cs"/>
          <w:noProof/>
          <w:rtl/>
          <w:lang w:eastAsia="he-IL"/>
        </w:rPr>
        <w:t>מובלים</w:t>
      </w:r>
      <w:r w:rsidRPr="00B12BCD">
        <w:rPr>
          <w:rFonts w:ascii="Times New Roman" w:eastAsia="Times New Roman" w:hAnsi="Times New Roman" w:cs="FrankRuehl" w:hint="cs"/>
          <w:noProof/>
          <w:szCs w:val="26"/>
          <w:rtl/>
          <w:lang w:eastAsia="he-IL"/>
        </w:rPr>
        <w:t xml:space="preserve"> כולם איש לאחוזתו</w:t>
      </w:r>
      <w:r w:rsidRPr="00B12BCD">
        <w:rPr>
          <w:rFonts w:ascii="Times New Roman" w:eastAsia="Times New Roman" w:hAnsi="Times New Roman" w:cs="FrankRuehl"/>
          <w:noProof/>
          <w:position w:val="-5"/>
          <w:szCs w:val="26"/>
          <w:vertAlign w:val="superscript"/>
          <w:rtl/>
          <w:lang w:eastAsia="he-IL"/>
        </w:rPr>
        <w:footnoteReference w:id="23"/>
      </w:r>
      <w:r w:rsidRPr="00B12BCD">
        <w:rPr>
          <w:rFonts w:ascii="Times New Roman" w:eastAsia="Times New Roman" w:hAnsi="Times New Roman" w:cs="FrankRuehl" w:hint="cs"/>
          <w:noProof/>
          <w:szCs w:val="26"/>
          <w:rtl/>
          <w:lang w:eastAsia="he-IL"/>
        </w:rPr>
        <w:t>. לכאורה אין כמו היובל להיות מתאים לתקיעה, לפי שכל התמורות שובתות אז, והכל שב ונאסף למקומו ולמנוחתו, והכל משתוה ומתאחד, ובכל זאת רואים אנו שהיובל אינו חל בשמיטה השביעית, בחינת שבת שבשבת, אלא לאחריה, כרוצה לפתוח דף חדש (ולדעת ר' יהודה הוא באמת נמנה להיות הראשון בשנות המחזור הבא</w:t>
      </w:r>
      <w:r w:rsidRPr="00B12BCD">
        <w:rPr>
          <w:rFonts w:ascii="Times New Roman" w:eastAsia="Times New Roman" w:hAnsi="Times New Roman" w:cs="FrankRuehl"/>
          <w:noProof/>
          <w:position w:val="-5"/>
          <w:szCs w:val="26"/>
          <w:vertAlign w:val="superscript"/>
          <w:rtl/>
          <w:lang w:eastAsia="he-IL"/>
        </w:rPr>
        <w:footnoteReference w:id="24"/>
      </w:r>
      <w:r w:rsidRPr="00B12BCD">
        <w:rPr>
          <w:rFonts w:ascii="Times New Roman" w:eastAsia="Times New Roman" w:hAnsi="Times New Roman" w:cs="FrankRuehl" w:hint="cs"/>
          <w:noProof/>
          <w:szCs w:val="26"/>
          <w:rtl/>
          <w:lang w:eastAsia="he-IL"/>
        </w:rPr>
        <w:t>). אין זאת אלא שהיובל בעיקרו הוא התחלה חדשה, התיצבות בעמדת זינוק. השיבה אינה מנוחה והרפיה מהתמורות שקדמו לה, את זה עשו בשמיטות, השיבה היא חזרה לחיים אחרי שריבוי התמורות והסתבכויותיהן הביא לחוסר מוצא, לחברה שכורעת תחת נטל הפערים שבה.</w:t>
      </w:r>
    </w:p>
    <w:p w:rsidR="00B12BCD" w:rsidRPr="00B12BCD" w:rsidRDefault="00B12BCD" w:rsidP="00B12BCD">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B12BCD">
        <w:rPr>
          <w:rFonts w:ascii="Times New Roman" w:eastAsia="Times New Roman" w:hAnsi="Times New Roman" w:cs="Guttman Hodes" w:hint="cs"/>
          <w:b/>
          <w:bCs/>
          <w:noProof/>
          <w:sz w:val="20"/>
          <w:szCs w:val="26"/>
          <w:rtl/>
          <w:lang w:eastAsia="he-IL"/>
        </w:rPr>
        <w:t>תקיעה לעומת תרועה</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עתה נשוב להתבונן בכתובים כיצד מתאפיינות התרועה והתקיעה, או, במילים אחרות, מה המשותף לשתי התקיעות, ומה לשתי התרועות. התקיעה מכוונת להתכנסות וביטול, והתרועה מכוונת לתנועה והתפעמות. התקיעה מייצגת את ה</w:t>
      </w:r>
      <w:r w:rsidRPr="00B12BCD">
        <w:rPr>
          <w:rFonts w:ascii="Times New Roman" w:eastAsia="Times New Roman" w:hAnsi="Times New Roman" w:cs="Miriam" w:hint="cs"/>
          <w:noProof/>
          <w:rtl/>
          <w:lang w:eastAsia="he-IL"/>
        </w:rPr>
        <w:t>אלקי</w:t>
      </w:r>
      <w:r w:rsidRPr="00B12BCD">
        <w:rPr>
          <w:rFonts w:ascii="Times New Roman" w:eastAsia="Times New Roman" w:hAnsi="Times New Roman" w:cs="FrankRuehl" w:hint="cs"/>
          <w:noProof/>
          <w:szCs w:val="26"/>
          <w:rtl/>
          <w:lang w:eastAsia="he-IL"/>
        </w:rPr>
        <w:t>, והתרועה את ה</w:t>
      </w:r>
      <w:r w:rsidRPr="00B12BCD">
        <w:rPr>
          <w:rFonts w:ascii="Times New Roman" w:eastAsia="Times New Roman" w:hAnsi="Times New Roman" w:cs="Miriam" w:hint="cs"/>
          <w:noProof/>
          <w:rtl/>
          <w:lang w:eastAsia="he-IL"/>
        </w:rPr>
        <w:t>אנושי</w:t>
      </w:r>
      <w:r w:rsidRPr="00B12BCD">
        <w:rPr>
          <w:rFonts w:ascii="Times New Roman" w:eastAsia="Times New Roman" w:hAnsi="Times New Roman" w:cs="FrankRuehl" w:hint="cs"/>
          <w:noProof/>
          <w:szCs w:val="26"/>
          <w:rtl/>
          <w:lang w:eastAsia="he-IL"/>
        </w:rPr>
        <w:t>. "אם יתקע שופר בעיר ועם לא יחרדו?"</w:t>
      </w:r>
      <w:r w:rsidRPr="00B12BCD">
        <w:rPr>
          <w:rFonts w:ascii="Times New Roman" w:eastAsia="Times New Roman" w:hAnsi="Times New Roman" w:cs="FrankRuehl"/>
          <w:noProof/>
          <w:position w:val="-5"/>
          <w:szCs w:val="26"/>
          <w:vertAlign w:val="superscript"/>
          <w:rtl/>
          <w:lang w:eastAsia="he-IL"/>
        </w:rPr>
        <w:footnoteReference w:id="25"/>
      </w:r>
      <w:r w:rsidRPr="00B12BCD">
        <w:rPr>
          <w:rFonts w:ascii="Times New Roman" w:eastAsia="Times New Roman" w:hAnsi="Times New Roman" w:cs="FrankRuehl" w:hint="cs"/>
          <w:noProof/>
          <w:szCs w:val="26"/>
          <w:rtl/>
          <w:lang w:eastAsia="he-IL"/>
        </w:rPr>
        <w:t xml:space="preserve">. תקיעת הצופה בשופר, כדי להזהיר מפני האויב המתקרב, נועדה להשבית את האנשים מן היום-יום שלהם. לא מנגינה ולא קול משתלב נצרכים לעת כזאת, אלא קול שמחריש את הקולות האחרים, קול שקם על השיגרה. התקיעה פירושה הופעה, ואפילו הפתעה, חדירה של משהו אחר </w:t>
      </w:r>
      <w:r w:rsidRPr="00B12BCD">
        <w:rPr>
          <w:rFonts w:ascii="Times New Roman" w:eastAsia="Times New Roman" w:hAnsi="Times New Roman" w:cs="FrankRuehl" w:hint="eastAsia"/>
          <w:noProof/>
          <w:szCs w:val="26"/>
          <w:rtl/>
          <w:lang w:eastAsia="he-IL"/>
        </w:rPr>
        <w:t>–</w:t>
      </w:r>
      <w:r w:rsidRPr="00B12BCD">
        <w:rPr>
          <w:rFonts w:ascii="Times New Roman" w:eastAsia="Times New Roman" w:hAnsi="Times New Roman" w:cs="FrankRuehl" w:hint="cs"/>
          <w:noProof/>
          <w:szCs w:val="26"/>
          <w:rtl/>
          <w:lang w:eastAsia="he-IL"/>
        </w:rPr>
        <w:t xml:space="preserve"> עתים מחריד, עתים נשגב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שתובע לא להתעלם ממנו.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כשמשה תוקע, נקראים כולם לעזוב את עניניהם, ולבוא ולשמוע בצייתנות את דברו, להפתח אל הנשגב. החיים מלאים גוונים וסגנונות, אבל כאן מתיצבים כולם כאחד, ומצווים כולם כאחד. האמת הגדולה של משה, השקול כנגד ששים רבוא ישראל</w:t>
      </w:r>
      <w:r w:rsidRPr="00B12BCD">
        <w:rPr>
          <w:rFonts w:ascii="Times New Roman" w:eastAsia="Times New Roman" w:hAnsi="Times New Roman" w:cs="FrankRuehl"/>
          <w:noProof/>
          <w:position w:val="-5"/>
          <w:szCs w:val="26"/>
          <w:vertAlign w:val="superscript"/>
          <w:rtl/>
          <w:lang w:eastAsia="he-IL"/>
        </w:rPr>
        <w:footnoteReference w:id="26"/>
      </w:r>
      <w:r w:rsidRPr="00B12BCD">
        <w:rPr>
          <w:rFonts w:ascii="Times New Roman" w:eastAsia="Times New Roman" w:hAnsi="Times New Roman" w:cs="FrankRuehl" w:hint="cs"/>
          <w:noProof/>
          <w:szCs w:val="26"/>
          <w:rtl/>
          <w:lang w:eastAsia="he-IL"/>
        </w:rPr>
        <w:t>, נתפסת להם כפשוטה ומופשטת, כיוון שעומדת מעל הגוון האישי, ומרכזת אליה את הכל. לפיכך הדרך להזדהות איתה היא דוקא דרך כניסה בעול המשמעת, מעין הדעה בחז"ל</w:t>
      </w:r>
      <w:r w:rsidRPr="00B12BCD">
        <w:rPr>
          <w:rFonts w:ascii="Times New Roman" w:eastAsia="Times New Roman" w:hAnsi="Times New Roman" w:cs="FrankRuehl"/>
          <w:noProof/>
          <w:position w:val="-5"/>
          <w:szCs w:val="26"/>
          <w:vertAlign w:val="superscript"/>
          <w:rtl/>
          <w:lang w:eastAsia="he-IL"/>
        </w:rPr>
        <w:footnoteReference w:id="27"/>
      </w:r>
      <w:r w:rsidRPr="00B12BCD">
        <w:rPr>
          <w:rFonts w:ascii="Times New Roman" w:eastAsia="Times New Roman" w:hAnsi="Times New Roman" w:cs="FrankRuehl" w:hint="cs"/>
          <w:noProof/>
          <w:szCs w:val="26"/>
          <w:rtl/>
          <w:lang w:eastAsia="he-IL"/>
        </w:rPr>
        <w:t xml:space="preserve"> כי בעת מתן תורה (כאשר שמעו את קול השופר החזק), אמרו על כל דבר ששמעו הן (לעומת הדעה שעל מצוות העשה אמרו הן ועל הלאוים – לאו, כלומר שמצאו בנפשם הד לתוכן המפורט של הדברים).</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התקיעות בחגים גם הן קשורות לביטול ולאחדות. מועד הוא זמן ביטול מלאכה, והעם נקרא אז להאסף אל נקודת הקדש שלו. זו משמעות הביטוי "מקרא קדש", כפי שנשמע מדברי הקטרוג של נבואת ישעיהו: "חדש ושבת </w:t>
      </w:r>
      <w:r w:rsidRPr="00B12BCD">
        <w:rPr>
          <w:rFonts w:ascii="Times New Roman" w:eastAsia="Times New Roman" w:hAnsi="Times New Roman" w:cs="Miriam" w:hint="cs"/>
          <w:noProof/>
          <w:rtl/>
          <w:lang w:eastAsia="he-IL"/>
        </w:rPr>
        <w:t>קרֹא מקרא</w:t>
      </w:r>
      <w:r w:rsidRPr="00B12BCD">
        <w:rPr>
          <w:rFonts w:ascii="Times New Roman" w:eastAsia="Times New Roman" w:hAnsi="Times New Roman" w:cs="FrankRuehl" w:hint="cs"/>
          <w:noProof/>
          <w:szCs w:val="26"/>
          <w:rtl/>
          <w:lang w:eastAsia="he-IL"/>
        </w:rPr>
        <w:t>, לא אוכל אָוֶן ו</w:t>
      </w:r>
      <w:r w:rsidRPr="00B12BCD">
        <w:rPr>
          <w:rFonts w:ascii="Times New Roman" w:eastAsia="Times New Roman" w:hAnsi="Times New Roman" w:cs="Miriam" w:hint="cs"/>
          <w:noProof/>
          <w:rtl/>
          <w:lang w:eastAsia="he-IL"/>
        </w:rPr>
        <w:t>עצרה</w:t>
      </w:r>
      <w:r w:rsidRPr="00B12BCD">
        <w:rPr>
          <w:rFonts w:ascii="Times New Roman" w:eastAsia="Times New Roman" w:hAnsi="Times New Roman" w:cs="FrankRuehl" w:hint="cs"/>
          <w:noProof/>
          <w:szCs w:val="26"/>
          <w:rtl/>
          <w:lang w:eastAsia="he-IL"/>
        </w:rPr>
        <w:t>. חדשיכם ומועדיכם שנאה נפשי"</w:t>
      </w:r>
      <w:r w:rsidRPr="00B12BCD">
        <w:rPr>
          <w:rFonts w:ascii="Times New Roman" w:eastAsia="Times New Roman" w:hAnsi="Times New Roman" w:cs="FrankRuehl"/>
          <w:noProof/>
          <w:position w:val="-5"/>
          <w:szCs w:val="26"/>
          <w:vertAlign w:val="superscript"/>
          <w:rtl/>
          <w:lang w:eastAsia="he-IL"/>
        </w:rPr>
        <w:footnoteReference w:id="28"/>
      </w:r>
      <w:r w:rsidRPr="00B12BCD">
        <w:rPr>
          <w:rFonts w:ascii="Times New Roman" w:eastAsia="Times New Roman" w:hAnsi="Times New Roman" w:cs="FrankRuehl" w:hint="cs"/>
          <w:noProof/>
          <w:szCs w:val="26"/>
          <w:rtl/>
          <w:lang w:eastAsia="he-IL"/>
        </w:rPr>
        <w:t>. כוונתו לומר כי העצרות שאתם נקראים אליהן בימי המועד מלאות אוון (אף כי גדושות הן בקרבנות ותפילות, כיוון שבפרישׂכם כפיכם ידיכם דמים מלאו, כמבואר שם). אכן אין במקראי הקודש עמידה בביטול לשמוע מה יאמר משה, כי לא תמיד משה עמנו, אבל יש כאן מין השמעת קול פשוט מלמטה למעלה. זכור ה' אותנו בנקודה הפשוטה המאחדת את כולנו, שים לבך לנאמנות לך החובקת את כל הניצבים כאן, ואז, כאשר תבחין בנקודה הקדושה הזאת מבעד ל'מורכבות' שלנו (המרכיבה גם את יצרינו זה על זה), יתקבלו קרבנותינו לרצון.</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lastRenderedPageBreak/>
        <w:t xml:space="preserve">והנה, אף כי את פניית משה אנחנו שומעים, ואילו את הקול הבא להזכירנו לפני ה' אנו משמיעים, באמת אין זה ניגוד חריף. כשאדם משמיע קול חריג מקולותיו הרגילים, קול שמבטא רצון להחריש את קולותיו הרגילים ולגבור עליהם, הקול הזה עשוי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אולי אפילו אמור </w:t>
      </w:r>
      <w:r w:rsidRPr="00B12BCD">
        <w:rPr>
          <w:rFonts w:ascii="Times New Roman" w:eastAsia="Times New Roman" w:hAnsi="Times New Roman" w:cs="FrankRuehl"/>
          <w:noProof/>
          <w:szCs w:val="26"/>
          <w:rtl/>
          <w:lang w:eastAsia="he-IL"/>
        </w:rPr>
        <w:t>–</w:t>
      </w:r>
      <w:r w:rsidRPr="00B12BCD">
        <w:rPr>
          <w:rFonts w:ascii="Times New Roman" w:eastAsia="Times New Roman" w:hAnsi="Times New Roman" w:cs="FrankRuehl" w:hint="cs"/>
          <w:noProof/>
          <w:szCs w:val="26"/>
          <w:rtl/>
          <w:lang w:eastAsia="he-IL"/>
        </w:rPr>
        <w:t xml:space="preserve"> להפתיע אף אותו. לא שמתי לבי שיש בי קול כל כך שונה מקולותי הרגילים, ורק כעת כשאני שומע אותו אני מבחין עד כמה הוא מבטא אותי. חלק אלוק ממעל שבי נוחת עלי כאילו מבחוץ. לזה מתאימים דברי הרמב"ם בהל' תשובה</w:t>
      </w:r>
      <w:r w:rsidRPr="00B12BCD">
        <w:rPr>
          <w:rFonts w:ascii="Times New Roman" w:eastAsia="Times New Roman" w:hAnsi="Times New Roman" w:cs="FrankRuehl"/>
          <w:noProof/>
          <w:position w:val="-5"/>
          <w:szCs w:val="26"/>
          <w:vertAlign w:val="superscript"/>
          <w:rtl/>
          <w:lang w:eastAsia="he-IL"/>
        </w:rPr>
        <w:footnoteReference w:id="29"/>
      </w:r>
      <w:r w:rsidRPr="00B12BCD">
        <w:rPr>
          <w:rFonts w:ascii="Times New Roman" w:eastAsia="Times New Roman" w:hAnsi="Times New Roman" w:cs="FrankRuehl" w:hint="cs"/>
          <w:noProof/>
          <w:szCs w:val="26"/>
          <w:rtl/>
          <w:lang w:eastAsia="he-IL"/>
        </w:rPr>
        <w:t xml:space="preserve"> כי קול השופר מופנה כלפי האדם עצמו, וקורא לו "עורו ישנים מתרדמתכם".</w:t>
      </w:r>
    </w:p>
    <w:p w:rsidR="00B12BCD" w:rsidRPr="00B12BCD" w:rsidRDefault="00B12BCD" w:rsidP="00B12BC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B12BCD">
        <w:rPr>
          <w:rFonts w:ascii="Times New Roman" w:eastAsia="Times New Roman" w:hAnsi="Times New Roman" w:cs="Guttman Vilna" w:hint="cs"/>
          <w:noProof/>
          <w:sz w:val="20"/>
          <w:szCs w:val="21"/>
          <w:rtl/>
          <w:lang w:eastAsia="he-IL"/>
        </w:rPr>
        <w:t>כמו שיש התעוררות מאדם לחברו, כגון שרואים שאחד אומר בקשות וסליחות והתעוררות בלב נשבר, אזי חברו מתעורר ממנו גם כן, כי מתעורר מחברו ומתחיל להסתכל על עצמו, ונתעורר גם כן ומתחיל לומר גם כן בקשות בהתעוררות הלב; כמו כן יש אצל האדם עצמו התעוררות מיניה וביה, שמתעורר מתוך דברי עצמו, דהיינו שאומר בקשות ותחינות בהתעוררות, וצועק וי לי! ובתוך כך נתעורר מזה ומתחיל להסתכל על עצמו: היכן אני, ומי צועק כך, הלא וי לי, לי ממש. ומתחיל שנית לצעוק וי לי, לי דיקא. ואף שבתחילה נדמה לו כאילו גם כן אומר באמת כראוי, עם כל זה אחר-כך רואים ההפרש בין קודם לאחר כך. והבן.</w:t>
      </w:r>
      <w:r w:rsidRPr="00B12BCD">
        <w:rPr>
          <w:rFonts w:ascii="Times New Roman" w:eastAsia="Times New Roman" w:hAnsi="Times New Roman" w:cs="Guttman Vilna"/>
          <w:noProof/>
          <w:position w:val="-5"/>
          <w:sz w:val="20"/>
          <w:szCs w:val="21"/>
          <w:vertAlign w:val="superscript"/>
          <w:rtl/>
          <w:lang w:eastAsia="he-IL"/>
        </w:rPr>
        <w:footnoteReference w:id="30"/>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התרועה, לעומת התקיעה המצמיתה, מייצגת את המצב האנושי, את הדופק והריתמוס. משה מנער אותנו לפעולה עם תרועותיו, והננו כעת במלוא ממשותנו ויכולתנו. דרכו של אדם שאין עשייתו קו מתמשך ובלתי פוסק, שכן כל עשיה היא מין פריצה מעצמו, חריגה מהיקבעות במוכר, ושימת פנים אל הלא-נודע, וכל זה גם מושך וגם מאיים, על כן כל תנועה בנויה מרצף של קטעים קטנים שיש ביניהם רצף של מרווחים, בחינת "אשיב אל לבי". כשנשמעים קולות המזכירים לאדם את דרך פעולתו (ובעצם מעודדים אותו להתקדם כפי כחו), נוטה הוא להענות ולהצטרף, כי באמת פניו אל החדש והמבטיח, ואינו רוצה להשאר היכן שהוא וכפי שהוא.</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 אמנם, התרועות לדורות נשמעות שונות. אם כי אף הן מושמעות במסע המלחמה, לקראת פעולה רבת תנופה, בכל זאת אין ענינן להישמע כמין מנגינת לכת</w:t>
      </w:r>
      <w:r w:rsidRPr="00B12BCD">
        <w:rPr>
          <w:rFonts w:ascii="Times New Roman" w:eastAsia="Times New Roman" w:hAnsi="Times New Roman" w:cs="FrankRuehl"/>
          <w:noProof/>
          <w:position w:val="-5"/>
          <w:szCs w:val="26"/>
          <w:vertAlign w:val="superscript"/>
          <w:rtl/>
          <w:lang w:eastAsia="he-IL"/>
        </w:rPr>
        <w:footnoteReference w:id="31"/>
      </w:r>
      <w:r w:rsidRPr="00B12BCD">
        <w:rPr>
          <w:rFonts w:ascii="Times New Roman" w:eastAsia="Times New Roman" w:hAnsi="Times New Roman" w:cs="FrankRuehl" w:hint="cs"/>
          <w:noProof/>
          <w:szCs w:val="26"/>
          <w:rtl/>
          <w:lang w:eastAsia="he-IL"/>
        </w:rPr>
        <w:t xml:space="preserve">. התרועות הן הזעקה לפני ה' כדי שיושיע. כאן הפער בין הקולות מלמעלה, הבאים לעודד ולנסוך בטחון, לבין הקולות האנושיים, המבטאים תפילת אנוש שיודע את אזלת ידו ואינו יודע מה צופן לו העתיד, גדול יותר מהפער בין קריאת משה להתכנס לבין התכנסותנו מעצמנו מכחה של כנסת ישראל. ובכל זאת אלו ואלו קולות אנוש הם, כמו שמוצאים אנו את התרועה בכללה כמייצגת את עצם התגובה האנושית לדברים שהאדם נפגש איתם וחש כי הם גדולים משגרת חייו, בלא שאפשר תמיד להבחין בה אם בוכה או צוחקת היא. </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לכן התרועה היא גם "ילולי יליל", כנלמד מן התרגום על המילה "ותיבב"</w:t>
      </w:r>
      <w:r w:rsidRPr="00B12BCD">
        <w:rPr>
          <w:rFonts w:ascii="Times New Roman" w:eastAsia="Times New Roman" w:hAnsi="Times New Roman" w:cs="FrankRuehl"/>
          <w:noProof/>
          <w:position w:val="-5"/>
          <w:szCs w:val="26"/>
          <w:vertAlign w:val="superscript"/>
          <w:rtl/>
          <w:lang w:eastAsia="he-IL"/>
        </w:rPr>
        <w:footnoteReference w:id="32"/>
      </w:r>
      <w:r w:rsidRPr="00B12BCD">
        <w:rPr>
          <w:rFonts w:ascii="Times New Roman" w:eastAsia="Times New Roman" w:hAnsi="Times New Roman" w:cs="FrankRuehl" w:hint="cs"/>
          <w:noProof/>
          <w:szCs w:val="26"/>
          <w:rtl/>
          <w:lang w:eastAsia="he-IL"/>
        </w:rPr>
        <w:t>, וגם תרועת שמחה</w:t>
      </w:r>
      <w:r w:rsidRPr="00B12BCD">
        <w:rPr>
          <w:rFonts w:ascii="Times New Roman" w:eastAsia="Times New Roman" w:hAnsi="Times New Roman" w:cs="FrankRuehl"/>
          <w:noProof/>
          <w:position w:val="-5"/>
          <w:szCs w:val="26"/>
          <w:vertAlign w:val="superscript"/>
          <w:rtl/>
          <w:lang w:eastAsia="he-IL"/>
        </w:rPr>
        <w:footnoteReference w:id="33"/>
      </w:r>
      <w:r w:rsidRPr="00B12BCD">
        <w:rPr>
          <w:rFonts w:ascii="Times New Roman" w:eastAsia="Times New Roman" w:hAnsi="Times New Roman" w:cs="FrankRuehl" w:hint="cs"/>
          <w:noProof/>
          <w:szCs w:val="26"/>
          <w:rtl/>
          <w:lang w:eastAsia="he-IL"/>
        </w:rPr>
        <w:t>. קיים דמיון בין רטט הבכי לרטט הצחוק, בשניהם יש תגובה של רצוא ושוב. כשם שאי-אפשר להכיל בשורה רעה מאד, ועל כן רגע מתיחסים אליה ורגע מרפים ממנה ומנסים להתעלם, כך אי-אפשר להכיל בשורות טובות מאד שמערערות את היציבות הנוכחית, ועל כן רגע צוחקים ורגע מרפים. על כן מצוה התורה כי אותם קולות שעוררו את האנושי והפועם שבנו, הם הקולות בהם נתייצב לפניו, עם יכולתנו המוגבלת לדבוק בו, וקולות אלה הם שיזכירו לפניו את הזדקקותו של בן אנוש לרחמיו.</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 xml:space="preserve">אם כן, יוצא לנו בכללות כי אף שמצאנו כי חצוצרות משה הן מן האלקי אל האנושי, והחצוצרות לדורות הן מן האנושי אל האלקי, בכל זאת נכון גם לומר שהתקיעה היא אלקית, ואף כשבאה מן האדם, כמבואר לעיל, והתרועה היא אנושית, אף כשבאה מן ה', שהרי ענינה לתת לאדם ולפעילותו מקום ותפקיד. לפיכך במדבר התקיעה היא העיקר, והתרועה נובעת ממנה ושבה אליה, ואילו בארץ ישראל התקיעה מכוונת עצמה לתמוך את התרועה. </w:t>
      </w:r>
    </w:p>
    <w:p w:rsidR="00B12BCD" w:rsidRPr="00B12BCD" w:rsidRDefault="00B12BCD" w:rsidP="00B12BCD">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B12BCD">
        <w:rPr>
          <w:rFonts w:ascii="Times New Roman" w:eastAsia="Times New Roman" w:hAnsi="Times New Roman" w:cs="Guttman Hodes" w:hint="cs"/>
          <w:b/>
          <w:bCs/>
          <w:noProof/>
          <w:sz w:val="20"/>
          <w:szCs w:val="26"/>
          <w:rtl/>
          <w:lang w:eastAsia="he-IL"/>
        </w:rPr>
        <w:lastRenderedPageBreak/>
        <w:t>ארץ ישראל מתאימה לתפילה</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אמנם הסימטריה אינה שלמה: במדבר התקיעה והתרועה אלו שתי תנועות שונות, אולי אפילו הפוכות, אחת מאספת למשכן ואחת מוציאה לדרך, ואילו לדורות, כל הקולות מכוונים להזכר לפני ה'. עזיבת המדבר, אשר נראית כירידה, כהיפרדות מנוכחות אלקית 'מובנת מאליה', מתפרשת במבט שני כהתעלות. עמידתנו על אנושיותנו, בלא תמיכת משה והוראותיו, מחריפה את התלות ומעמיקה לזהות את האנושי עצמו כנזקק, ואי-אפשר לנו לצעוד שני צעדים לתוך העולם בלא ליסוג צעד אחד אל ה'. כך יובן מדוע לדורות לא תיתכן תרועה בלא תקיעה.</w:t>
      </w:r>
    </w:p>
    <w:p w:rsidR="00B12BCD" w:rsidRPr="00B12BCD" w:rsidRDefault="00B12BCD" w:rsidP="00B12BCD">
      <w:pPr>
        <w:spacing w:after="80" w:line="300" w:lineRule="exact"/>
        <w:ind w:firstLine="170"/>
        <w:jc w:val="both"/>
        <w:rPr>
          <w:rFonts w:ascii="Times New Roman" w:eastAsia="Times New Roman" w:hAnsi="Times New Roman" w:cs="FrankRuehl" w:hint="cs"/>
          <w:noProof/>
          <w:szCs w:val="26"/>
          <w:rtl/>
          <w:lang w:eastAsia="he-IL"/>
        </w:rPr>
      </w:pPr>
      <w:r w:rsidRPr="00B12BCD">
        <w:rPr>
          <w:rFonts w:ascii="Times New Roman" w:eastAsia="Times New Roman" w:hAnsi="Times New Roman" w:cs="FrankRuehl" w:hint="cs"/>
          <w:noProof/>
          <w:szCs w:val="26"/>
          <w:rtl/>
          <w:lang w:eastAsia="he-IL"/>
        </w:rPr>
        <w:t>וכנגד זה שהתרועה בארץ ישראל היא כלפי שמיא, הנה התקיעה הפונה אל ה' בחגים נראית פחות 'טהורה' ופחות 'אלקית' מההאספות אל משה במדבר, שהרי אצל משה "תתקעו ולא תריעו", ואילו על הקרבנות מצרפים תרועה לתקיעה. אפשר שכך הדבר מפני שלדורות ובארץ ישראל נוסף חן של שפלות ואנושיות לכל ביטול והתקדשות, כמבואר לעיל שאת החגים משעינים אנו על ימי החול, מודים על ברכת האדמה ועל סיפוק צרכי אנוש, ואיננו מתימרים לשכח את כל זה בבואנו אל ה'. כידוע, כך הדבר גם בראותנו בזמנים המקודשים זמני פתיחה, ולא רק זמני הודאה על כל הטוב אשר גמלנו, מה שמובלט בחג האביב, כשהתבואה עוד באיבה, וביום הנפת העומר לקראת הקציר. הקדש מכוון עצמו להעניק כח לעיסוק בחיי החול באופן שיורגש בהם האלקים הנותן לנו כח לעשות חיל, ותורגש ברכתו.</w:t>
      </w:r>
    </w:p>
    <w:p w:rsidR="005F4A47" w:rsidRDefault="001825D6"/>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5D6" w:rsidRDefault="001825D6" w:rsidP="00B12BCD">
      <w:pPr>
        <w:spacing w:after="0" w:line="240" w:lineRule="auto"/>
      </w:pPr>
      <w:r>
        <w:separator/>
      </w:r>
    </w:p>
  </w:endnote>
  <w:endnote w:type="continuationSeparator" w:id="0">
    <w:p w:rsidR="001825D6" w:rsidRDefault="001825D6" w:rsidP="00B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5D6" w:rsidRDefault="001825D6" w:rsidP="00B12BCD">
      <w:pPr>
        <w:spacing w:after="0" w:line="240" w:lineRule="auto"/>
      </w:pPr>
      <w:r>
        <w:separator/>
      </w:r>
    </w:p>
  </w:footnote>
  <w:footnote w:type="continuationSeparator" w:id="0">
    <w:p w:rsidR="001825D6" w:rsidRDefault="001825D6" w:rsidP="00B12BCD">
      <w:pPr>
        <w:spacing w:after="0" w:line="240" w:lineRule="auto"/>
      </w:pPr>
      <w:r>
        <w:continuationSeparator/>
      </w:r>
    </w:p>
  </w:footnote>
  <w:footnote w:id="1">
    <w:p w:rsidR="00B12BCD" w:rsidRPr="00D37AF6" w:rsidRDefault="00B12BCD" w:rsidP="00B12BCD">
      <w:pPr>
        <w:pStyle w:val="a3"/>
        <w:rPr>
          <w:rFonts w:hint="cs"/>
          <w:rtl/>
        </w:rPr>
      </w:pPr>
      <w:r w:rsidRPr="00D37AF6">
        <w:rPr>
          <w:rtl/>
        </w:rPr>
        <w:tab/>
      </w:r>
      <w:r w:rsidRPr="00D37AF6">
        <w:rPr>
          <w:rtl/>
        </w:rPr>
        <w:footnoteRef/>
      </w:r>
      <w:r w:rsidRPr="00D37AF6">
        <w:rPr>
          <w:rtl/>
        </w:rPr>
        <w:t>.</w:t>
      </w:r>
      <w:r w:rsidRPr="00D37AF6">
        <w:rPr>
          <w:rtl/>
        </w:rPr>
        <w:tab/>
      </w:r>
      <w:r w:rsidRPr="00D37AF6">
        <w:rPr>
          <w:rFonts w:hint="cs"/>
          <w:rtl/>
        </w:rPr>
        <w:t xml:space="preserve">במדבר </w:t>
      </w:r>
      <w:proofErr w:type="spellStart"/>
      <w:r w:rsidRPr="00D37AF6">
        <w:rPr>
          <w:rFonts w:hint="cs"/>
          <w:rtl/>
        </w:rPr>
        <w:t>כט</w:t>
      </w:r>
      <w:proofErr w:type="spellEnd"/>
      <w:r w:rsidRPr="00D37AF6">
        <w:rPr>
          <w:rFonts w:hint="cs"/>
          <w:rtl/>
        </w:rPr>
        <w:t>, א.</w:t>
      </w:r>
    </w:p>
  </w:footnote>
  <w:footnote w:id="2">
    <w:p w:rsidR="00B12BCD" w:rsidRPr="00933711" w:rsidRDefault="00B12BCD" w:rsidP="00B12BCD">
      <w:pPr>
        <w:pStyle w:val="a3"/>
        <w:rPr>
          <w:rFonts w:hint="cs"/>
        </w:rPr>
      </w:pPr>
      <w:r>
        <w:rPr>
          <w:rFonts w:hint="cs"/>
          <w:rtl/>
        </w:rPr>
        <w:tab/>
      </w:r>
      <w:r w:rsidRPr="00933711">
        <w:rPr>
          <w:rtl/>
        </w:rPr>
        <w:footnoteRef/>
      </w:r>
      <w:r>
        <w:rPr>
          <w:rtl/>
        </w:rPr>
        <w:t>.</w:t>
      </w:r>
      <w:r>
        <w:rPr>
          <w:rtl/>
        </w:rPr>
        <w:tab/>
      </w:r>
      <w:r w:rsidRPr="004F3672">
        <w:rPr>
          <w:rFonts w:hint="cs"/>
          <w:rtl/>
        </w:rPr>
        <w:t xml:space="preserve">"שמצות היום בשופר" – ראש השנה </w:t>
      </w:r>
      <w:proofErr w:type="spellStart"/>
      <w:r w:rsidRPr="004F3672">
        <w:rPr>
          <w:rFonts w:hint="cs"/>
          <w:rtl/>
        </w:rPr>
        <w:t>כו</w:t>
      </w:r>
      <w:proofErr w:type="spellEnd"/>
      <w:r w:rsidRPr="004F3672">
        <w:rPr>
          <w:rFonts w:hint="cs"/>
          <w:rtl/>
        </w:rPr>
        <w:t>, ב</w:t>
      </w:r>
      <w:r>
        <w:rPr>
          <w:rFonts w:hint="cs"/>
          <w:rtl/>
        </w:rPr>
        <w:t>.</w:t>
      </w:r>
    </w:p>
  </w:footnote>
  <w:footnote w:id="3">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במדבר י, א-י.</w:t>
      </w:r>
    </w:p>
  </w:footnote>
  <w:footnote w:id="4">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במדבר לא, ו.</w:t>
      </w:r>
    </w:p>
  </w:footnote>
  <w:footnote w:id="5">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 xml:space="preserve">שם </w:t>
      </w:r>
      <w:proofErr w:type="spellStart"/>
      <w:r>
        <w:rPr>
          <w:rFonts w:hint="cs"/>
          <w:rtl/>
        </w:rPr>
        <w:t>כח</w:t>
      </w:r>
      <w:proofErr w:type="spellEnd"/>
      <w:r>
        <w:rPr>
          <w:rFonts w:hint="cs"/>
          <w:rtl/>
        </w:rPr>
        <w:t>.</w:t>
      </w:r>
    </w:p>
  </w:footnote>
  <w:footnote w:id="6">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שם ז.</w:t>
      </w:r>
    </w:p>
  </w:footnote>
  <w:footnote w:id="7">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כמבואר בסמוך לפרשת החצוצרות – במדבר י, יא-</w:t>
      </w:r>
      <w:proofErr w:type="spellStart"/>
      <w:r>
        <w:rPr>
          <w:rFonts w:hint="cs"/>
          <w:rtl/>
        </w:rPr>
        <w:t>כח</w:t>
      </w:r>
      <w:proofErr w:type="spellEnd"/>
      <w:r>
        <w:rPr>
          <w:rFonts w:hint="cs"/>
          <w:rtl/>
        </w:rPr>
        <w:t>.</w:t>
      </w:r>
    </w:p>
  </w:footnote>
  <w:footnote w:id="8">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במדבר י, י.</w:t>
      </w:r>
    </w:p>
  </w:footnote>
  <w:footnote w:id="9">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עשה נט.</w:t>
      </w:r>
    </w:p>
  </w:footnote>
  <w:footnote w:id="10">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ג, ה</w:t>
      </w:r>
      <w:r>
        <w:rPr>
          <w:rFonts w:hint="cs"/>
          <w:rtl/>
        </w:rPr>
        <w:t>.</w:t>
      </w:r>
    </w:p>
  </w:footnote>
  <w:footnote w:id="11">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 xml:space="preserve">עיין ויקרא </w:t>
      </w:r>
      <w:proofErr w:type="spellStart"/>
      <w:r w:rsidRPr="004F3672">
        <w:rPr>
          <w:rFonts w:hint="cs"/>
          <w:rtl/>
        </w:rPr>
        <w:t>כג</w:t>
      </w:r>
      <w:proofErr w:type="spellEnd"/>
      <w:r w:rsidRPr="004F3672">
        <w:rPr>
          <w:rFonts w:hint="cs"/>
          <w:rtl/>
        </w:rPr>
        <w:t xml:space="preserve"> א-ד</w:t>
      </w:r>
      <w:r>
        <w:rPr>
          <w:rFonts w:cs="David" w:hint="cs"/>
          <w:rtl/>
        </w:rPr>
        <w:t>.</w:t>
      </w:r>
      <w:r w:rsidRPr="007222AC">
        <w:rPr>
          <w:rtl/>
        </w:rPr>
        <w:t xml:space="preserve"> </w:t>
      </w:r>
    </w:p>
  </w:footnote>
  <w:footnote w:id="12">
    <w:p w:rsidR="00B12BCD" w:rsidRDefault="00B12BCD" w:rsidP="00B12BCD">
      <w:pPr>
        <w:pStyle w:val="a3"/>
        <w:rPr>
          <w:rFonts w:hint="cs"/>
          <w:rtl/>
        </w:rPr>
      </w:pPr>
      <w:r>
        <w:rPr>
          <w:rtl/>
        </w:rPr>
        <w:tab/>
      </w:r>
      <w:r w:rsidRPr="00FE0DB9">
        <w:rPr>
          <w:rtl/>
        </w:rPr>
        <w:footnoteRef/>
      </w:r>
      <w:r>
        <w:rPr>
          <w:rtl/>
        </w:rPr>
        <w:t>.</w:t>
      </w:r>
      <w:r>
        <w:rPr>
          <w:rtl/>
        </w:rPr>
        <w:tab/>
      </w:r>
      <w:r>
        <w:rPr>
          <w:rFonts w:hint="cs"/>
          <w:rtl/>
        </w:rPr>
        <w:t xml:space="preserve">דברים יא, </w:t>
      </w:r>
      <w:proofErr w:type="spellStart"/>
      <w:r>
        <w:rPr>
          <w:rFonts w:hint="cs"/>
          <w:rtl/>
        </w:rPr>
        <w:t>יב</w:t>
      </w:r>
      <w:proofErr w:type="spellEnd"/>
      <w:r>
        <w:rPr>
          <w:rFonts w:hint="cs"/>
          <w:rtl/>
        </w:rPr>
        <w:t xml:space="preserve">. </w:t>
      </w:r>
      <w:r w:rsidRPr="004F3672">
        <w:rPr>
          <w:rFonts w:hint="cs"/>
          <w:rtl/>
        </w:rPr>
        <w:t>פתיחת השנה החקלאית גוזרת ממילא את פתיחת השמיטין והיובלות.</w:t>
      </w:r>
    </w:p>
  </w:footnote>
  <w:footnote w:id="13">
    <w:p w:rsidR="00B12BCD" w:rsidRPr="004F3672" w:rsidRDefault="00B12BCD" w:rsidP="00B12BCD">
      <w:pPr>
        <w:pStyle w:val="a3"/>
        <w:rPr>
          <w:rFonts w:hint="cs"/>
          <w:rtl/>
        </w:rPr>
      </w:pPr>
      <w:r>
        <w:rPr>
          <w:rtl/>
        </w:rPr>
        <w:tab/>
      </w:r>
      <w:r w:rsidRPr="00F458E1">
        <w:rPr>
          <w:rtl/>
        </w:rPr>
        <w:footnoteRef/>
      </w:r>
      <w:r>
        <w:rPr>
          <w:rtl/>
        </w:rPr>
        <w:t>.</w:t>
      </w:r>
      <w:r>
        <w:rPr>
          <w:rtl/>
        </w:rPr>
        <w:tab/>
      </w:r>
      <w:proofErr w:type="spellStart"/>
      <w:r>
        <w:rPr>
          <w:rFonts w:hint="cs"/>
          <w:rtl/>
        </w:rPr>
        <w:t>ויק"ר</w:t>
      </w:r>
      <w:proofErr w:type="spellEnd"/>
      <w:r>
        <w:rPr>
          <w:rFonts w:hint="cs"/>
          <w:rtl/>
        </w:rPr>
        <w:t xml:space="preserve"> </w:t>
      </w:r>
      <w:proofErr w:type="spellStart"/>
      <w:r>
        <w:rPr>
          <w:rFonts w:hint="cs"/>
          <w:rtl/>
        </w:rPr>
        <w:t>כט</w:t>
      </w:r>
      <w:proofErr w:type="spellEnd"/>
      <w:r>
        <w:rPr>
          <w:rFonts w:hint="cs"/>
          <w:rtl/>
        </w:rPr>
        <w:t>.</w:t>
      </w:r>
    </w:p>
  </w:footnote>
  <w:footnote w:id="14">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תהלים פא, ד.</w:t>
      </w:r>
    </w:p>
  </w:footnote>
  <w:footnote w:id="15">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 xml:space="preserve">ה, </w:t>
      </w:r>
      <w:proofErr w:type="spellStart"/>
      <w:r w:rsidRPr="004F3672">
        <w:rPr>
          <w:rFonts w:hint="cs"/>
          <w:rtl/>
        </w:rPr>
        <w:t>יח-כא</w:t>
      </w:r>
      <w:proofErr w:type="spellEnd"/>
      <w:r>
        <w:rPr>
          <w:rFonts w:hint="cs"/>
          <w:rtl/>
        </w:rPr>
        <w:t>.</w:t>
      </w:r>
      <w:r w:rsidRPr="004F3672">
        <w:rPr>
          <w:rFonts w:hint="cs"/>
          <w:rtl/>
        </w:rPr>
        <w:t xml:space="preserve"> </w:t>
      </w:r>
    </w:p>
  </w:footnote>
  <w:footnote w:id="16">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 xml:space="preserve">כמבואר </w:t>
      </w:r>
      <w:proofErr w:type="spellStart"/>
      <w:r>
        <w:rPr>
          <w:rFonts w:hint="cs"/>
          <w:rtl/>
        </w:rPr>
        <w:t>בכש"ט</w:t>
      </w:r>
      <w:proofErr w:type="spellEnd"/>
      <w:r>
        <w:rPr>
          <w:rFonts w:hint="cs"/>
          <w:rtl/>
        </w:rPr>
        <w:t xml:space="preserve">, </w:t>
      </w:r>
      <w:proofErr w:type="spellStart"/>
      <w:r>
        <w:rPr>
          <w:rFonts w:hint="cs"/>
          <w:rtl/>
        </w:rPr>
        <w:t>כח</w:t>
      </w:r>
      <w:proofErr w:type="spellEnd"/>
      <w:r>
        <w:rPr>
          <w:rFonts w:hint="cs"/>
          <w:rtl/>
        </w:rPr>
        <w:t xml:space="preserve">. על המדובר כאן </w:t>
      </w:r>
      <w:r w:rsidRPr="004F3672">
        <w:rPr>
          <w:rFonts w:hint="cs"/>
          <w:rtl/>
        </w:rPr>
        <w:t xml:space="preserve">ראה בספר </w:t>
      </w:r>
      <w:r w:rsidRPr="00891CEA">
        <w:rPr>
          <w:rStyle w:val="a6"/>
          <w:rFonts w:hint="cs"/>
          <w:rtl/>
        </w:rPr>
        <w:t>אני לדודי ודודי לי</w:t>
      </w:r>
      <w:r>
        <w:rPr>
          <w:rFonts w:hint="cs"/>
          <w:rtl/>
        </w:rPr>
        <w:t>, עמ' צו.</w:t>
      </w:r>
    </w:p>
  </w:footnote>
  <w:footnote w:id="17">
    <w:p w:rsidR="00B12BCD" w:rsidRPr="004F3672" w:rsidRDefault="00B12BCD" w:rsidP="00B12BCD">
      <w:pPr>
        <w:pStyle w:val="a3"/>
        <w:rPr>
          <w:rFonts w:hint="cs"/>
          <w:rtl/>
        </w:rPr>
      </w:pPr>
      <w:r>
        <w:rPr>
          <w:rtl/>
        </w:rPr>
        <w:tab/>
      </w:r>
      <w:r w:rsidRPr="00F458E1">
        <w:rPr>
          <w:rtl/>
        </w:rPr>
        <w:footnoteRef/>
      </w:r>
      <w:r>
        <w:rPr>
          <w:rtl/>
        </w:rPr>
        <w:t>.</w:t>
      </w:r>
      <w:r>
        <w:rPr>
          <w:rtl/>
        </w:rPr>
        <w:tab/>
      </w:r>
      <w:proofErr w:type="spellStart"/>
      <w:r>
        <w:rPr>
          <w:rFonts w:hint="cs"/>
          <w:rtl/>
        </w:rPr>
        <w:t>בר"ר</w:t>
      </w:r>
      <w:proofErr w:type="spellEnd"/>
      <w:r>
        <w:rPr>
          <w:rFonts w:hint="cs"/>
          <w:rtl/>
        </w:rPr>
        <w:t xml:space="preserve"> ע.</w:t>
      </w:r>
    </w:p>
  </w:footnote>
  <w:footnote w:id="18">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 xml:space="preserve">ויקרא </w:t>
      </w:r>
      <w:proofErr w:type="spellStart"/>
      <w:r>
        <w:rPr>
          <w:rFonts w:hint="cs"/>
          <w:rtl/>
        </w:rPr>
        <w:t>טז</w:t>
      </w:r>
      <w:proofErr w:type="spellEnd"/>
      <w:r>
        <w:rPr>
          <w:rFonts w:hint="cs"/>
          <w:rtl/>
        </w:rPr>
        <w:t>.</w:t>
      </w:r>
    </w:p>
  </w:footnote>
  <w:footnote w:id="19">
    <w:p w:rsidR="00B12BCD" w:rsidRPr="00933711" w:rsidRDefault="00B12BCD" w:rsidP="00B12BCD">
      <w:pPr>
        <w:pStyle w:val="a3"/>
        <w:rPr>
          <w:rFonts w:hint="cs"/>
        </w:rPr>
      </w:pPr>
      <w:r>
        <w:rPr>
          <w:rFonts w:hint="cs"/>
          <w:rtl/>
        </w:rPr>
        <w:tab/>
      </w:r>
      <w:r w:rsidRPr="00933711">
        <w:rPr>
          <w:rtl/>
        </w:rPr>
        <w:footnoteRef/>
      </w:r>
      <w:r>
        <w:rPr>
          <w:rtl/>
        </w:rPr>
        <w:t>.</w:t>
      </w:r>
      <w:r>
        <w:rPr>
          <w:rtl/>
        </w:rPr>
        <w:tab/>
      </w:r>
      <w:r w:rsidRPr="004F3672">
        <w:rPr>
          <w:rFonts w:hint="cs"/>
          <w:rtl/>
        </w:rPr>
        <w:t xml:space="preserve">המעיין יראה שחידושי יחזקאל </w:t>
      </w:r>
      <w:proofErr w:type="spellStart"/>
      <w:r w:rsidRPr="004F3672">
        <w:rPr>
          <w:rFonts w:hint="cs"/>
          <w:rtl/>
        </w:rPr>
        <w:t>בענין</w:t>
      </w:r>
      <w:proofErr w:type="spellEnd"/>
      <w:r w:rsidRPr="004F3672">
        <w:rPr>
          <w:rFonts w:hint="cs"/>
          <w:rtl/>
        </w:rPr>
        <w:t xml:space="preserve"> הבית העתידי, כולם סובבים על הציר הזה: ציר ההתחדשות תוך תודעה של חזרה בתשובה. </w:t>
      </w:r>
      <w:r w:rsidRPr="00772883">
        <w:rPr>
          <w:rFonts w:hint="cs"/>
          <w:rtl/>
        </w:rPr>
        <w:t>"</w:t>
      </w:r>
      <w:r>
        <w:rPr>
          <w:rFonts w:hint="cs"/>
          <w:rtl/>
        </w:rPr>
        <w:t>'</w:t>
      </w:r>
      <w:r w:rsidRPr="00772883">
        <w:rPr>
          <w:rFonts w:hint="cs"/>
          <w:rtl/>
        </w:rPr>
        <w:t>ואחרי טהרתו שבעת ימים יספרו לו</w:t>
      </w:r>
      <w:r>
        <w:rPr>
          <w:rFonts w:hint="cs"/>
          <w:rtl/>
        </w:rPr>
        <w:t>'</w:t>
      </w:r>
      <w:r w:rsidRPr="00772883">
        <w:rPr>
          <w:rFonts w:hint="cs"/>
          <w:rtl/>
        </w:rPr>
        <w:t xml:space="preserve"> </w:t>
      </w:r>
      <w:r w:rsidRPr="00772883">
        <w:rPr>
          <w:rtl/>
        </w:rPr>
        <w:t>–</w:t>
      </w:r>
      <w:r w:rsidRPr="00772883">
        <w:rPr>
          <w:rFonts w:hint="cs"/>
          <w:rtl/>
        </w:rPr>
        <w:t xml:space="preserve"> לטהרת הקדש. ומעלה היא לקדושת העתיד, כשאר מעלות שראית למעלה בחיטוי המזבח, ותראה עדיין למטה. לפי </w:t>
      </w:r>
      <w:proofErr w:type="spellStart"/>
      <w:r w:rsidRPr="00772883">
        <w:rPr>
          <w:rFonts w:hint="cs"/>
          <w:rtl/>
        </w:rPr>
        <w:t>שטמאוהו</w:t>
      </w:r>
      <w:proofErr w:type="spellEnd"/>
      <w:r w:rsidRPr="00772883">
        <w:rPr>
          <w:rFonts w:hint="cs"/>
          <w:rtl/>
        </w:rPr>
        <w:t xml:space="preserve"> לשעבר בתועבותיהם, כמו שאמר למעלה, בא להחמיר בקרבנות ובטהרות, ולהגדיל גבול הקדש והמקדש, </w:t>
      </w:r>
      <w:proofErr w:type="spellStart"/>
      <w:r w:rsidRPr="00772883">
        <w:rPr>
          <w:rFonts w:hint="cs"/>
          <w:rtl/>
        </w:rPr>
        <w:t>להבדילם</w:t>
      </w:r>
      <w:proofErr w:type="spellEnd"/>
      <w:r w:rsidRPr="00772883">
        <w:rPr>
          <w:rFonts w:hint="cs"/>
          <w:rtl/>
        </w:rPr>
        <w:t xml:space="preserve"> ממנו</w:t>
      </w:r>
      <w:r>
        <w:rPr>
          <w:rFonts w:hint="cs"/>
          <w:rtl/>
        </w:rPr>
        <w:t>"</w:t>
      </w:r>
      <w:r w:rsidRPr="004F3672">
        <w:rPr>
          <w:rFonts w:hint="cs"/>
          <w:rtl/>
        </w:rPr>
        <w:t xml:space="preserve"> (ר' אליעזר </w:t>
      </w:r>
      <w:proofErr w:type="spellStart"/>
      <w:r w:rsidRPr="004F3672">
        <w:rPr>
          <w:rFonts w:hint="cs"/>
          <w:rtl/>
        </w:rPr>
        <w:t>מבלגנצי</w:t>
      </w:r>
      <w:proofErr w:type="spellEnd"/>
      <w:r w:rsidRPr="004F3672">
        <w:rPr>
          <w:rFonts w:hint="cs"/>
          <w:rtl/>
        </w:rPr>
        <w:t xml:space="preserve"> ליחזקאל מד</w:t>
      </w:r>
      <w:r>
        <w:rPr>
          <w:rFonts w:hint="cs"/>
          <w:rtl/>
        </w:rPr>
        <w:t>,</w:t>
      </w:r>
      <w:r w:rsidRPr="004F3672">
        <w:rPr>
          <w:rFonts w:hint="cs"/>
          <w:rtl/>
        </w:rPr>
        <w:t xml:space="preserve"> </w:t>
      </w:r>
      <w:proofErr w:type="spellStart"/>
      <w:r w:rsidRPr="004F3672">
        <w:rPr>
          <w:rFonts w:hint="cs"/>
          <w:rtl/>
        </w:rPr>
        <w:t>כו</w:t>
      </w:r>
      <w:proofErr w:type="spellEnd"/>
      <w:r w:rsidRPr="004F3672">
        <w:rPr>
          <w:rFonts w:hint="cs"/>
          <w:rtl/>
        </w:rPr>
        <w:t>).</w:t>
      </w:r>
    </w:p>
  </w:footnote>
  <w:footnote w:id="20">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בראשית א, א.</w:t>
      </w:r>
    </w:p>
  </w:footnote>
  <w:footnote w:id="21">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 xml:space="preserve">ר"ה </w:t>
      </w:r>
      <w:proofErr w:type="spellStart"/>
      <w:r>
        <w:rPr>
          <w:rFonts w:hint="cs"/>
          <w:rtl/>
        </w:rPr>
        <w:t>טז</w:t>
      </w:r>
      <w:proofErr w:type="spellEnd"/>
      <w:r>
        <w:rPr>
          <w:rFonts w:hint="cs"/>
          <w:rtl/>
        </w:rPr>
        <w:t>, ב; מדרש תנאים על הפסוק.</w:t>
      </w:r>
    </w:p>
  </w:footnote>
  <w:footnote w:id="22">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ויקרא כה, ט.</w:t>
      </w:r>
    </w:p>
  </w:footnote>
  <w:footnote w:id="23">
    <w:p w:rsidR="00B12BCD" w:rsidRPr="00E33F9F" w:rsidRDefault="00B12BCD" w:rsidP="00B12BCD">
      <w:pPr>
        <w:pStyle w:val="a3"/>
        <w:rPr>
          <w:rFonts w:hint="cs"/>
        </w:rPr>
      </w:pPr>
      <w:r>
        <w:rPr>
          <w:rFonts w:hint="cs"/>
          <w:rtl/>
        </w:rPr>
        <w:tab/>
      </w:r>
      <w:r w:rsidRPr="00E33F9F">
        <w:rPr>
          <w:rtl/>
        </w:rPr>
        <w:footnoteRef/>
      </w:r>
      <w:r>
        <w:rPr>
          <w:rtl/>
        </w:rPr>
        <w:t>.</w:t>
      </w:r>
      <w:r>
        <w:rPr>
          <w:rtl/>
        </w:rPr>
        <w:tab/>
      </w:r>
      <w:r w:rsidRPr="004F3672">
        <w:rPr>
          <w:rFonts w:hint="cs"/>
          <w:rtl/>
        </w:rPr>
        <w:t xml:space="preserve">עיין רמב"ן </w:t>
      </w:r>
      <w:proofErr w:type="spellStart"/>
      <w:r w:rsidRPr="004F3672">
        <w:rPr>
          <w:rFonts w:hint="cs"/>
          <w:rtl/>
        </w:rPr>
        <w:t>לויקרא</w:t>
      </w:r>
      <w:proofErr w:type="spellEnd"/>
      <w:r w:rsidRPr="004F3672">
        <w:rPr>
          <w:rFonts w:hint="cs"/>
          <w:rtl/>
        </w:rPr>
        <w:t xml:space="preserve"> כה, י; את התנועה, כאמור לעיל, עוררו התרועות</w:t>
      </w:r>
      <w:r>
        <w:rPr>
          <w:rFonts w:hint="cs"/>
          <w:rtl/>
        </w:rPr>
        <w:t>.</w:t>
      </w:r>
    </w:p>
  </w:footnote>
  <w:footnote w:id="24">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 xml:space="preserve">נדרים </w:t>
      </w:r>
      <w:proofErr w:type="spellStart"/>
      <w:r>
        <w:rPr>
          <w:rFonts w:hint="cs"/>
          <w:rtl/>
        </w:rPr>
        <w:t>סא</w:t>
      </w:r>
      <w:proofErr w:type="spellEnd"/>
      <w:r>
        <w:rPr>
          <w:rFonts w:hint="cs"/>
          <w:rtl/>
        </w:rPr>
        <w:t>, א.</w:t>
      </w:r>
    </w:p>
  </w:footnote>
  <w:footnote w:id="25">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עמוס ג, ו</w:t>
      </w:r>
      <w:r>
        <w:rPr>
          <w:rFonts w:hint="cs"/>
          <w:rtl/>
        </w:rPr>
        <w:t>.</w:t>
      </w:r>
    </w:p>
  </w:footnote>
  <w:footnote w:id="26">
    <w:p w:rsidR="00B12BCD" w:rsidRPr="004F3672" w:rsidRDefault="00B12BCD" w:rsidP="00B12BCD">
      <w:pPr>
        <w:pStyle w:val="a3"/>
        <w:rPr>
          <w:rFonts w:hint="cs"/>
          <w:rtl/>
        </w:rPr>
      </w:pPr>
      <w:r>
        <w:rPr>
          <w:rtl/>
        </w:rPr>
        <w:tab/>
      </w:r>
      <w:r w:rsidRPr="00F458E1">
        <w:rPr>
          <w:rtl/>
        </w:rPr>
        <w:footnoteRef/>
      </w:r>
      <w:r>
        <w:rPr>
          <w:rtl/>
        </w:rPr>
        <w:t>.</w:t>
      </w:r>
      <w:r>
        <w:rPr>
          <w:rtl/>
        </w:rPr>
        <w:tab/>
      </w:r>
      <w:proofErr w:type="spellStart"/>
      <w:r>
        <w:rPr>
          <w:rFonts w:hint="cs"/>
          <w:rtl/>
        </w:rPr>
        <w:t>שהש"ר</w:t>
      </w:r>
      <w:proofErr w:type="spellEnd"/>
      <w:r>
        <w:rPr>
          <w:rFonts w:hint="cs"/>
          <w:rtl/>
        </w:rPr>
        <w:t xml:space="preserve"> א, ג.</w:t>
      </w:r>
    </w:p>
  </w:footnote>
  <w:footnote w:id="27">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ראה מכילתא יתרו, סוף ד</w:t>
      </w:r>
      <w:r>
        <w:rPr>
          <w:rFonts w:hint="cs"/>
          <w:rtl/>
        </w:rPr>
        <w:t>.</w:t>
      </w:r>
    </w:p>
  </w:footnote>
  <w:footnote w:id="28">
    <w:p w:rsidR="00B12BCD" w:rsidRPr="00E33F9F" w:rsidRDefault="00B12BCD" w:rsidP="00B12BCD">
      <w:pPr>
        <w:pStyle w:val="a3"/>
        <w:rPr>
          <w:rFonts w:hint="cs"/>
        </w:rPr>
      </w:pPr>
      <w:r>
        <w:rPr>
          <w:rFonts w:hint="cs"/>
          <w:rtl/>
        </w:rPr>
        <w:tab/>
      </w:r>
      <w:r w:rsidRPr="00E33F9F">
        <w:rPr>
          <w:rtl/>
        </w:rPr>
        <w:footnoteRef/>
      </w:r>
      <w:r>
        <w:rPr>
          <w:rtl/>
        </w:rPr>
        <w:t>.</w:t>
      </w:r>
      <w:r>
        <w:rPr>
          <w:rtl/>
        </w:rPr>
        <w:tab/>
      </w:r>
      <w:r w:rsidRPr="004F3672">
        <w:rPr>
          <w:rFonts w:hint="cs"/>
          <w:rtl/>
        </w:rPr>
        <w:t xml:space="preserve">א, </w:t>
      </w:r>
      <w:proofErr w:type="spellStart"/>
      <w:r w:rsidRPr="004F3672">
        <w:rPr>
          <w:rFonts w:hint="cs"/>
          <w:rtl/>
        </w:rPr>
        <w:t>יג</w:t>
      </w:r>
      <w:proofErr w:type="spellEnd"/>
      <w:r w:rsidRPr="004F3672">
        <w:rPr>
          <w:rFonts w:hint="cs"/>
          <w:rtl/>
        </w:rPr>
        <w:t>-יד</w:t>
      </w:r>
      <w:r>
        <w:rPr>
          <w:rFonts w:hint="cs"/>
          <w:rtl/>
        </w:rPr>
        <w:t>.</w:t>
      </w:r>
    </w:p>
  </w:footnote>
  <w:footnote w:id="29">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ג, ד.</w:t>
      </w:r>
    </w:p>
  </w:footnote>
  <w:footnote w:id="30">
    <w:p w:rsidR="00B12BCD" w:rsidRPr="004F3672" w:rsidRDefault="00B12BCD" w:rsidP="00B12BCD">
      <w:pPr>
        <w:pStyle w:val="a3"/>
        <w:rPr>
          <w:rFonts w:hint="cs"/>
          <w:rtl/>
        </w:rPr>
      </w:pPr>
      <w:r>
        <w:rPr>
          <w:rtl/>
        </w:rPr>
        <w:tab/>
      </w:r>
      <w:r w:rsidRPr="00F458E1">
        <w:rPr>
          <w:rtl/>
        </w:rPr>
        <w:footnoteRef/>
      </w:r>
      <w:r>
        <w:rPr>
          <w:rtl/>
        </w:rPr>
        <w:t>.</w:t>
      </w:r>
      <w:r>
        <w:rPr>
          <w:rtl/>
        </w:rPr>
        <w:tab/>
      </w:r>
      <w:proofErr w:type="spellStart"/>
      <w:r>
        <w:rPr>
          <w:rFonts w:hint="cs"/>
          <w:rtl/>
        </w:rPr>
        <w:t>ל</w:t>
      </w:r>
      <w:r w:rsidRPr="004F3672">
        <w:rPr>
          <w:rFonts w:hint="cs"/>
          <w:rtl/>
        </w:rPr>
        <w:t>קו"מ</w:t>
      </w:r>
      <w:proofErr w:type="spellEnd"/>
      <w:r w:rsidRPr="004F3672">
        <w:rPr>
          <w:rFonts w:hint="cs"/>
          <w:rtl/>
        </w:rPr>
        <w:t xml:space="preserve"> תורה ער</w:t>
      </w:r>
      <w:r>
        <w:rPr>
          <w:rFonts w:hint="cs"/>
          <w:rtl/>
        </w:rPr>
        <w:t>.</w:t>
      </w:r>
    </w:p>
  </w:footnote>
  <w:footnote w:id="31">
    <w:p w:rsidR="00B12BCD" w:rsidRPr="004F3672" w:rsidRDefault="00B12BCD" w:rsidP="00B12BCD">
      <w:pPr>
        <w:pStyle w:val="a3"/>
        <w:rPr>
          <w:rFonts w:hint="cs"/>
          <w:rtl/>
        </w:rPr>
      </w:pPr>
      <w:r>
        <w:rPr>
          <w:rtl/>
        </w:rPr>
        <w:tab/>
      </w:r>
      <w:r w:rsidRPr="00F458E1">
        <w:rPr>
          <w:rtl/>
        </w:rPr>
        <w:footnoteRef/>
      </w:r>
      <w:r>
        <w:rPr>
          <w:rtl/>
        </w:rPr>
        <w:t>.</w:t>
      </w:r>
      <w:r>
        <w:rPr>
          <w:rtl/>
        </w:rPr>
        <w:tab/>
      </w:r>
      <w:r w:rsidRPr="004F3672">
        <w:rPr>
          <w:rFonts w:hint="cs"/>
          <w:rtl/>
        </w:rPr>
        <w:t>ראה הפסוקים המובאים מספר דברי הימים בתחילת פרק שלישי שאין זה חד-משמעי, עיין שם</w:t>
      </w:r>
      <w:r>
        <w:rPr>
          <w:rFonts w:hint="cs"/>
          <w:rtl/>
        </w:rPr>
        <w:t>.</w:t>
      </w:r>
    </w:p>
  </w:footnote>
  <w:footnote w:id="32">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ר"</w:t>
      </w:r>
      <w:r w:rsidRPr="004F3672">
        <w:rPr>
          <w:rFonts w:hint="cs"/>
          <w:rtl/>
        </w:rPr>
        <w:t>ה לג, ב</w:t>
      </w:r>
      <w:r>
        <w:rPr>
          <w:rFonts w:hint="cs"/>
          <w:rtl/>
        </w:rPr>
        <w:t>.</w:t>
      </w:r>
    </w:p>
  </w:footnote>
  <w:footnote w:id="33">
    <w:p w:rsidR="00B12BCD" w:rsidRPr="004F3672" w:rsidRDefault="00B12BCD" w:rsidP="00B12BCD">
      <w:pPr>
        <w:pStyle w:val="a3"/>
        <w:rPr>
          <w:rFonts w:hint="cs"/>
          <w:rtl/>
        </w:rPr>
      </w:pPr>
      <w:r>
        <w:rPr>
          <w:rtl/>
        </w:rPr>
        <w:tab/>
      </w:r>
      <w:r w:rsidRPr="00F458E1">
        <w:rPr>
          <w:rtl/>
        </w:rPr>
        <w:footnoteRef/>
      </w:r>
      <w:r>
        <w:rPr>
          <w:rtl/>
        </w:rPr>
        <w:t>.</w:t>
      </w:r>
      <w:r>
        <w:rPr>
          <w:rtl/>
        </w:rPr>
        <w:tab/>
      </w:r>
      <w:r>
        <w:rPr>
          <w:rFonts w:hint="cs"/>
          <w:rtl/>
        </w:rPr>
        <w:t>ר</w:t>
      </w:r>
      <w:r w:rsidRPr="004F3672">
        <w:rPr>
          <w:rFonts w:hint="cs"/>
          <w:rtl/>
        </w:rPr>
        <w:t xml:space="preserve">אה למשל עזרא ג, </w:t>
      </w:r>
      <w:proofErr w:type="spellStart"/>
      <w:r w:rsidRPr="004F3672">
        <w:rPr>
          <w:rFonts w:hint="cs"/>
          <w:rtl/>
        </w:rPr>
        <w:t>יג</w:t>
      </w:r>
      <w:proofErr w:type="spellEnd"/>
      <w:r>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2C"/>
    <w:rsid w:val="00061E65"/>
    <w:rsid w:val="001825D6"/>
    <w:rsid w:val="00971B2C"/>
    <w:rsid w:val="00AC2310"/>
    <w:rsid w:val="00B12B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12BCD"/>
    <w:pPr>
      <w:spacing w:after="0" w:line="240" w:lineRule="auto"/>
    </w:pPr>
    <w:rPr>
      <w:sz w:val="20"/>
      <w:szCs w:val="20"/>
    </w:rPr>
  </w:style>
  <w:style w:type="character" w:customStyle="1" w:styleId="a4">
    <w:name w:val="טקסט הערת שוליים תו"/>
    <w:basedOn w:val="a0"/>
    <w:link w:val="a3"/>
    <w:uiPriority w:val="99"/>
    <w:semiHidden/>
    <w:rsid w:val="00B12BCD"/>
    <w:rPr>
      <w:sz w:val="20"/>
      <w:szCs w:val="20"/>
    </w:rPr>
  </w:style>
  <w:style w:type="paragraph" w:styleId="a5">
    <w:name w:val="List"/>
    <w:basedOn w:val="a"/>
    <w:uiPriority w:val="99"/>
    <w:semiHidden/>
    <w:unhideWhenUsed/>
    <w:rsid w:val="00B12BCD"/>
    <w:pPr>
      <w:ind w:left="283" w:hanging="283"/>
      <w:contextualSpacing/>
    </w:pPr>
  </w:style>
  <w:style w:type="character" w:customStyle="1" w:styleId="a6">
    <w:name w:val="מרים שוליים"/>
    <w:basedOn w:val="a0"/>
    <w:rsid w:val="00B12BCD"/>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12BCD"/>
    <w:pPr>
      <w:spacing w:after="0" w:line="240" w:lineRule="auto"/>
    </w:pPr>
    <w:rPr>
      <w:sz w:val="20"/>
      <w:szCs w:val="20"/>
    </w:rPr>
  </w:style>
  <w:style w:type="character" w:customStyle="1" w:styleId="a4">
    <w:name w:val="טקסט הערת שוליים תו"/>
    <w:basedOn w:val="a0"/>
    <w:link w:val="a3"/>
    <w:uiPriority w:val="99"/>
    <w:semiHidden/>
    <w:rsid w:val="00B12BCD"/>
    <w:rPr>
      <w:sz w:val="20"/>
      <w:szCs w:val="20"/>
    </w:rPr>
  </w:style>
  <w:style w:type="paragraph" w:styleId="a5">
    <w:name w:val="List"/>
    <w:basedOn w:val="a"/>
    <w:uiPriority w:val="99"/>
    <w:semiHidden/>
    <w:unhideWhenUsed/>
    <w:rsid w:val="00B12BCD"/>
    <w:pPr>
      <w:ind w:left="283" w:hanging="283"/>
      <w:contextualSpacing/>
    </w:pPr>
  </w:style>
  <w:style w:type="character" w:customStyle="1" w:styleId="a6">
    <w:name w:val="מרים שוליים"/>
    <w:basedOn w:val="a0"/>
    <w:rsid w:val="00B12BCD"/>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2277</Words>
  <Characters>12621</Characters>
  <Application>Microsoft Office Word</Application>
  <DocSecurity>0</DocSecurity>
  <Lines>206</Lines>
  <Paragraphs>240</Paragraphs>
  <ScaleCrop>false</ScaleCrop>
  <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2017-07-24T17:12:00Z</dcterms:created>
  <dcterms:modified xsi:type="dcterms:W3CDTF">2017-07-24T17:13:00Z</dcterms:modified>
</cp:coreProperties>
</file>