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Northgrid Electricity</w:t>
      </w:r>
    </w:p>
    <w:p>
      <w:r>
        <w:t>Tom Reddy</w:t>
        <w:br/>
        <w:t>Highways Engineer</w:t>
        <w:br/>
        <w:t>Northvale County Council</w:t>
      </w:r>
    </w:p>
    <w:p>
      <w:r>
        <w:t>Our ref: KVL-NGE-600-LT-U-0002</w:t>
        <w:br/>
        <w:t>Date: 16 May 2025</w:t>
      </w:r>
    </w:p>
    <w:p>
      <w:r>
        <w:t>Dear Tom,</w:t>
      </w:r>
    </w:p>
    <w:p>
      <w:r>
        <w:rPr>
          <w:b/>
        </w:rPr>
        <w:t>11 kV cable diversion - completion and protection requirements</w:t>
      </w:r>
    </w:p>
    <w:p>
      <w:r>
        <w:t>The 11 kV cable diversion at Ch 2+300 was energised on 12 May 2025. The old overhead line will be removed by 30 May.</w:t>
      </w:r>
    </w:p>
    <w:p>
      <w:r>
        <w:t>To protect the new cable during road construction, keep a minimum cover of 1.0 m, lay concrete cable tiles and warning tape over the ducts, and give us notice before any excavation within 3 m.</w:t>
      </w:r>
    </w:p>
    <w:p>
      <w:r>
        <w:t>Yours sincerely,</w:t>
      </w:r>
    </w:p>
    <w:p>
      <w:r>
        <w:t>Owen Pritchard, Network Engineer, Northgrid Electricity</w:t>
      </w:r>
    </w:p>
    <w:p>
      <w:r>
        <w:t>cc: Mark Bellamy, Project Manager, Castlegate Civils Ltd; David Okafor, Project Engineer, Arden Moss Consulting Engineers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KVL-NGE-600-LT-U-0002 P01 11 kV Cable Diversion - Protection Requirements</dc:title>
  <dc:subject>Kestrel Valley Link Road</dc:subject>
  <dc:creator>Owen Pritchard</dc:creator>
  <cp:keywords/>
  <dc:description>generated by python-docx</dc:description>
  <cp:lastModifiedBy>Owen Pritchard</cp:lastModifiedBy>
  <cp:revision>1</cp:revision>
  <dcterms:created xsi:type="dcterms:W3CDTF">2025-05-16T09:00:00Z</dcterms:created>
  <dcterms:modified xsi:type="dcterms:W3CDTF">2025-05-16T09:00:00Z</dcterms:modified>
  <cp:category/>
</cp:coreProperties>
</file>