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Water</w:t>
      </w:r>
    </w:p>
    <w:p>
      <w:r>
        <w:t>Tom Reddy</w:t>
        <w:br/>
        <w:t>Highways Engineer</w:t>
        <w:br/>
        <w:t>Northvale County Council</w:t>
      </w:r>
    </w:p>
    <w:p>
      <w:r>
        <w:t>Our ref: KVL-NVW-610-LT-U-0003</w:t>
        <w:br/>
        <w:t>Date: 8 July 2025</w:t>
      </w:r>
    </w:p>
    <w:p>
      <w:r>
        <w:t>Dear Tom,</w:t>
      </w:r>
    </w:p>
    <w:p>
      <w:r>
        <w:rPr>
          <w:b/>
        </w:rPr>
        <w:t>Mill Lane water main - response to your letter KVL-NCC-610-LT-U-0014</w:t>
      </w:r>
    </w:p>
    <w:p>
      <w:r>
        <w:t>Thank you for the trial hole results. We require a minimum clearance of 600 mm between our main and any new structure, and a minimum cover of 1.2 m under a carriageway.</w:t>
      </w:r>
    </w:p>
    <w:p>
      <w:r>
        <w:t>A diversion of the main would need a 16-week lead time. Alternatively, a reinforced concrete protection slab over the main is acceptable in principle, subject to our approval of the details before construction.</w:t>
      </w:r>
    </w:p>
    <w:p>
      <w:r>
        <w:t>Yours sincerely,</w:t>
      </w:r>
    </w:p>
    <w:p>
      <w:r>
        <w:t>Gareth Lloyd, Asset Engineer, Northvale Water</w:t>
      </w:r>
    </w:p>
    <w:p>
      <w:r>
        <w:t>cc: Priya Nair, Lead Bridge Engineer, Arden Moss Consulting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KVL-NVW-610-LT-U-0003 P01 Mill Lane Water Main - Response to Trial Hole Results</dc:title>
  <dc:subject>Kestrel Valley Link Road</dc:subject>
  <dc:creator>Gareth Lloyd</dc:creator>
  <cp:keywords/>
  <dc:description>generated by python-docx</dc:description>
  <cp:lastModifiedBy>Gareth Lloyd</cp:lastModifiedBy>
  <cp:revision>1</cp:revision>
  <dcterms:created xsi:type="dcterms:W3CDTF">2025-07-08T09:00:00Z</dcterms:created>
  <dcterms:modified xsi:type="dcterms:W3CDTF">2025-07-08T09:00:00Z</dcterms:modified>
  <cp:category/>
</cp:coreProperties>
</file>