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KVL-CGC-310-SB-D-0018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Pond 1 Flow Control Chamber - Vortex Flow Control Device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500 - Drainage and service ducts</w:t>
            </w:r>
          </w:p>
        </w:tc>
      </w:tr>
    </w:tbl>
    <w:p/>
    <w:p>
      <w:pPr>
        <w:pStyle w:val="Heading2"/>
      </w:pPr>
      <w:r>
        <w:t>1 Product</w:t>
      </w:r>
    </w:p>
    <w:p>
      <w:r>
        <w:t>Aqualine VFC-150 vortex flow control device in a 1500 mm precast chamber at the Pond 1 West outlet, set to pass 6.0 l/s at a design head of 1.5 m.</w:t>
      </w:r>
    </w:p>
    <w:p>
      <w:pPr>
        <w:pStyle w:val="Heading2"/>
      </w:pPr>
      <w:r>
        <w:t>2 Performance</w:t>
      </w:r>
    </w:p>
    <w:p>
      <w:r>
        <w:t>The manufacturer's head-flow curve is attached. Flow at 1.5 m head is 5.9 l/s.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KVL-CGC-310-SB-D-0018 P01 Pond 1 Flow Control Chamber - Vortex Flow Control Device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2025-06-20T09:00:00Z</dcterms:created>
  <dcterms:modified xsi:type="dcterms:W3CDTF">2025-06-20T09:00:00Z</dcterms:modified>
  <cp:category/>
</cp:coreProperties>
</file>