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Castlegate Civils Ltd</w:t>
      </w:r>
    </w:p>
    <w:p>
      <w:pPr>
        <w:pStyle w:val="Heading1"/>
      </w:pPr>
      <w:r>
        <w:t>Submittal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Project</w:t>
            </w:r>
          </w:p>
        </w:tc>
        <w:tc>
          <w:tcPr>
            <w:tcW w:type="dxa" w:w="4320"/>
          </w:tcPr>
          <w:p>
            <w:r>
              <w:t>Kestrel Valley Link Road</w:t>
            </w:r>
          </w:p>
        </w:tc>
      </w:tr>
      <w:tr>
        <w:tc>
          <w:tcPr>
            <w:tcW w:type="dxa" w:w="4320"/>
          </w:tcPr>
          <w:p>
            <w:r>
              <w:t>Document</w:t>
            </w:r>
          </w:p>
        </w:tc>
        <w:tc>
          <w:tcPr>
            <w:tcW w:type="dxa" w:w="4320"/>
          </w:tcPr>
          <w:p>
            <w:r>
              <w:t>KVL-CGC-320-SB-D-0009</w:t>
            </w:r>
          </w:p>
        </w:tc>
      </w:tr>
      <w:tr>
        <w:tc>
          <w:tcPr>
            <w:tcW w:type="dxa" w:w="4320"/>
          </w:tcPr>
          <w:p>
            <w:r>
              <w:t>Revision</w:t>
            </w:r>
          </w:p>
        </w:tc>
        <w:tc>
          <w:tcPr>
            <w:tcW w:type="dxa" w:w="4320"/>
          </w:tcPr>
          <w:p>
            <w:r>
              <w:t>P02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AP - For approval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6 October 2025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Pond 2 Flow Control Chamber - Vortex Flow Control Device</w:t>
            </w:r>
          </w:p>
        </w:tc>
      </w:tr>
      <w:tr>
        <w:tc>
          <w:tcPr>
            <w:tcW w:type="dxa" w:w="4320"/>
          </w:tcPr>
          <w:p>
            <w:r>
              <w:t>Submitted by</w:t>
            </w:r>
          </w:p>
        </w:tc>
        <w:tc>
          <w:tcPr>
            <w:tcW w:type="dxa" w:w="4320"/>
          </w:tcPr>
          <w:p>
            <w:r>
              <w:t>Jo Kimani, Site Engineer, Castlegate Civils Ltd</w:t>
            </w:r>
          </w:p>
        </w:tc>
      </w:tr>
      <w:tr>
        <w:tc>
          <w:tcPr>
            <w:tcW w:type="dxa" w:w="4320"/>
          </w:tcPr>
          <w:p>
            <w:r>
              <w:t>For review by</w:t>
            </w:r>
          </w:p>
        </w:tc>
        <w:tc>
          <w:tcPr>
            <w:tcW w:type="dxa" w:w="4320"/>
          </w:tcPr>
          <w:p>
            <w:r>
              <w:t>Sam Whitfield, Drainage Engineer, Arden Moss Consulting Engineers</w:t>
            </w:r>
          </w:p>
        </w:tc>
      </w:tr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Series 500 - Drainage and service ducts</w:t>
            </w:r>
          </w:p>
        </w:tc>
      </w:tr>
    </w:tbl>
    <w:p/>
    <w:p>
      <w:pPr>
        <w:pStyle w:val="Heading2"/>
      </w:pPr>
      <w:r>
        <w:t>1 Product</w:t>
      </w:r>
    </w:p>
    <w:p>
      <w:r>
        <w:t>Proposed substitute: Streamflow SV-100 vortex flow control device, offered as a cost saving and a shorter delivery time than the Aqualine VFC-150 approved at P01.</w:t>
      </w:r>
    </w:p>
    <w:p>
      <w:pPr>
        <w:pStyle w:val="Heading2"/>
      </w:pPr>
      <w:r>
        <w:t>2 Performance</w:t>
      </w:r>
    </w:p>
    <w:p>
      <w:r>
        <w:t>The manufacturer's curve for the SV-100 gives a discharge of 6.3 l/s at the design head of 1.8 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KVL-CGC-320-SB-D-0009 P02 Pond 2 Flow Control Chamber - Vortex Flow Control Device</dc:title>
  <dc:subject>Kestrel Valley Link Road</dc:subject>
  <dc:creator>Jo Kimani</dc:creator>
  <cp:keywords/>
  <dc:description>generated by python-docx</dc:description>
  <cp:lastModifiedBy>Jo Kimani</cp:lastModifiedBy>
  <cp:revision>1</cp:revision>
  <dcterms:created xsi:type="dcterms:W3CDTF">2025-10-06T09:00:00Z</dcterms:created>
  <dcterms:modified xsi:type="dcterms:W3CDTF">2025-10-06T09:00:00Z</dcterms:modified>
  <cp:category/>
</cp:coreProperties>
</file>