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510/010/IX-2023/Ds.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dsdda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addadasda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sdasdd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1324342424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3443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vdvsvvs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hjjkhjkhj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dsadasd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