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93A9B">
      <w:pPr>
        <w:pStyle w:val="2"/>
        <w:keepNext w:val="0"/>
        <w:keepLines w:val="0"/>
        <w:widowControl/>
        <w:suppressLineNumbers w:val="0"/>
        <w:rPr>
          <w:sz w:val="44"/>
          <w:szCs w:val="44"/>
        </w:rPr>
      </w:pPr>
      <w:r>
        <w:rPr>
          <w:rFonts w:ascii="宋体" w:hAnsi="宋体" w:eastAsia="宋体" w:cs="宋体"/>
          <w:sz w:val="44"/>
          <w:szCs w:val="44"/>
        </w:rPr>
        <w:t>Kubernetes Basics Lab Report (Minikube)</w:t>
      </w:r>
    </w:p>
    <w:p w14:paraId="2D61F2F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4D2840F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laboratory exercise aims to provide hands-on experience with the fundamental concepts of Kubernetes using </w:t>
      </w:r>
      <w:r>
        <w:rPr>
          <w:rStyle w:val="8"/>
          <w:rFonts w:hint="default" w:ascii="Times New Roman" w:hAnsi="Times New Roman" w:cs="Times New Roman"/>
        </w:rPr>
        <w:t>Minikube</w:t>
      </w:r>
      <w:r>
        <w:rPr>
          <w:rFonts w:hint="default" w:ascii="Times New Roman" w:hAnsi="Times New Roman" w:cs="Times New Roman"/>
        </w:rPr>
        <w:t>, a local single-node Kubernetes cluster. By following the official Kubernetes tutorials, the lab demonstrates the complete lifecycle of deploying, managing, exposing, scaling, and updating a containerized application.</w:t>
      </w:r>
    </w:p>
    <w:p w14:paraId="123CFC0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All commands were executed in a Windows command-line environment, and screenshots were captured at key stages to verify successful execution.</w:t>
      </w:r>
    </w:p>
    <w:p w14:paraId="1C60624C">
      <w:pPr>
        <w:keepNext w:val="0"/>
        <w:keepLines w:val="0"/>
        <w:widowControl/>
        <w:suppressLineNumbers w:val="0"/>
        <w:rPr>
          <w:rFonts w:hint="default" w:ascii="Times New Roman" w:hAnsi="Times New Roman" w:cs="Times New Roman"/>
        </w:rPr>
      </w:pPr>
      <w:r>
        <w:drawing>
          <wp:inline distT="0" distB="0" distL="114300" distR="114300">
            <wp:extent cx="5269865" cy="1946910"/>
            <wp:effectExtent l="0" t="0" r="63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stretch>
                      <a:fillRect/>
                    </a:stretch>
                  </pic:blipFill>
                  <pic:spPr>
                    <a:xfrm>
                      <a:off x="0" y="0"/>
                      <a:ext cx="5269865" cy="1946910"/>
                    </a:xfrm>
                    <a:prstGeom prst="rect">
                      <a:avLst/>
                    </a:prstGeom>
                    <a:noFill/>
                    <a:ln>
                      <a:noFill/>
                    </a:ln>
                  </pic:spPr>
                </pic:pic>
              </a:graphicData>
            </a:graphic>
          </wp:inline>
        </w:drawing>
      </w:r>
      <w:r>
        <w:drawing>
          <wp:inline distT="0" distB="0" distL="114300" distR="114300">
            <wp:extent cx="5273040" cy="1497330"/>
            <wp:effectExtent l="0" t="0" r="1016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5273040" cy="1497330"/>
                    </a:xfrm>
                    <a:prstGeom prst="rect">
                      <a:avLst/>
                    </a:prstGeom>
                    <a:noFill/>
                    <a:ln>
                      <a:noFill/>
                    </a:ln>
                  </pic:spPr>
                </pic:pic>
              </a:graphicData>
            </a:graphic>
          </wp:inline>
        </w:drawing>
      </w:r>
      <w:r>
        <w:drawing>
          <wp:inline distT="0" distB="0" distL="114300" distR="114300">
            <wp:extent cx="4000500" cy="357505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4000500" cy="3575050"/>
                    </a:xfrm>
                    <a:prstGeom prst="rect">
                      <a:avLst/>
                    </a:prstGeom>
                    <a:noFill/>
                    <a:ln>
                      <a:noFill/>
                    </a:ln>
                  </pic:spPr>
                </pic:pic>
              </a:graphicData>
            </a:graphic>
          </wp:inline>
        </w:drawing>
      </w:r>
    </w:p>
    <w:p w14:paraId="451DF88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Environment Setup and Cluster Initialization</w:t>
      </w:r>
      <w:r>
        <w:drawing>
          <wp:inline distT="0" distB="0" distL="114300" distR="114300">
            <wp:extent cx="5269865" cy="3041650"/>
            <wp:effectExtent l="0" t="0" r="63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69865" cy="3041650"/>
                    </a:xfrm>
                    <a:prstGeom prst="rect">
                      <a:avLst/>
                    </a:prstGeom>
                    <a:noFill/>
                    <a:ln>
                      <a:noFill/>
                    </a:ln>
                  </pic:spPr>
                </pic:pic>
              </a:graphicData>
            </a:graphic>
          </wp:inline>
        </w:drawing>
      </w:r>
      <w:bookmarkStart w:id="0" w:name="_GoBack"/>
      <w:bookmarkEnd w:id="0"/>
    </w:p>
    <w:p w14:paraId="2783CAB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lab environment was prepared on a Windows 11 system with Docker Desktop installed and configured as the container runtime. Minikube was used with the Docker driver to create a local Kubernetes cluster.</w:t>
      </w:r>
    </w:p>
    <w:p w14:paraId="0FEF7C5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cluster was started using the following command:</w:t>
      </w:r>
    </w:p>
    <w:p w14:paraId="0EFB99C4">
      <w:pPr>
        <w:keepNext w:val="0"/>
        <w:keepLines w:val="0"/>
        <w:widowControl/>
        <w:suppressLineNumbers w:val="0"/>
        <w:bidi w:val="0"/>
        <w:jc w:val="left"/>
        <w:rPr>
          <w:rFonts w:hint="default" w:ascii="Times New Roman" w:hAnsi="Times New Roman" w:eastAsia="宋体" w:cs="Times New Roman"/>
          <w:kern w:val="0"/>
          <w:sz w:val="24"/>
          <w:szCs w:val="24"/>
          <w:lang w:val="en-US" w:eastAsia="zh-CN" w:bidi="ar"/>
        </w:rPr>
      </w:pPr>
      <w:r>
        <w:rPr>
          <w:rStyle w:val="11"/>
          <w:rFonts w:hint="default" w:ascii="Times New Roman" w:hAnsi="Times New Roman" w:eastAsia="宋体" w:cs="Times New Roman"/>
          <w:kern w:val="0"/>
          <w:sz w:val="24"/>
          <w:szCs w:val="24"/>
          <w:lang w:val="en-US" w:eastAsia="zh-CN" w:bidi="ar"/>
        </w:rPr>
        <w:t xml:space="preserve">minikube </w:t>
      </w:r>
      <w:r>
        <w:rPr>
          <w:rFonts w:hint="default" w:ascii="Times New Roman" w:hAnsi="Times New Roman" w:eastAsia="宋体" w:cs="Times New Roman"/>
          <w:kern w:val="0"/>
          <w:sz w:val="24"/>
          <w:szCs w:val="24"/>
          <w:lang w:val="en-US" w:eastAsia="zh-CN" w:bidi="ar"/>
        </w:rPr>
        <w:t>start</w:t>
      </w:r>
    </w:p>
    <w:p w14:paraId="134ECD04">
      <w:pPr>
        <w:keepNext w:val="0"/>
        <w:keepLines w:val="0"/>
        <w:widowControl/>
        <w:suppressLineNumbers w:val="0"/>
        <w:bidi w:val="0"/>
        <w:jc w:val="left"/>
        <w:rPr>
          <w:rFonts w:hint="default" w:ascii="Times New Roman" w:hAnsi="Times New Roman" w:eastAsia="宋体" w:cs="Times New Roman"/>
          <w:kern w:val="0"/>
          <w:sz w:val="24"/>
          <w:szCs w:val="24"/>
          <w:lang w:val="en-US" w:eastAsia="zh-CN" w:bidi="ar"/>
        </w:rPr>
      </w:pPr>
      <w:r>
        <w:drawing>
          <wp:inline distT="0" distB="0" distL="114300" distR="114300">
            <wp:extent cx="5274310" cy="1289050"/>
            <wp:effectExtent l="0" t="0" r="8890" b="635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8"/>
                    <a:stretch>
                      <a:fillRect/>
                    </a:stretch>
                  </pic:blipFill>
                  <pic:spPr>
                    <a:xfrm>
                      <a:off x="0" y="0"/>
                      <a:ext cx="5274310" cy="1289050"/>
                    </a:xfrm>
                    <a:prstGeom prst="rect">
                      <a:avLst/>
                    </a:prstGeom>
                    <a:noFill/>
                    <a:ln>
                      <a:noFill/>
                    </a:ln>
                  </pic:spPr>
                </pic:pic>
              </a:graphicData>
            </a:graphic>
          </wp:inline>
        </w:drawing>
      </w:r>
    </w:p>
    <w:p w14:paraId="18CB29A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output confirmed that Minikube successfully initialized the control plane node and configured </w:t>
      </w:r>
      <w:r>
        <w:rPr>
          <w:rStyle w:val="11"/>
          <w:rFonts w:hint="default" w:ascii="Times New Roman" w:hAnsi="Times New Roman" w:cs="Times New Roman"/>
        </w:rPr>
        <w:t>kubectl</w:t>
      </w:r>
      <w:r>
        <w:rPr>
          <w:rFonts w:hint="default" w:ascii="Times New Roman" w:hAnsi="Times New Roman" w:cs="Times New Roman"/>
        </w:rPr>
        <w:t xml:space="preserve"> to communicate with the </w:t>
      </w:r>
      <w:r>
        <w:rPr>
          <w:rStyle w:val="11"/>
          <w:rFonts w:hint="default" w:ascii="Times New Roman" w:hAnsi="Times New Roman" w:cs="Times New Roman"/>
        </w:rPr>
        <w:t>minikube</w:t>
      </w:r>
      <w:r>
        <w:rPr>
          <w:rFonts w:hint="default" w:ascii="Times New Roman" w:hAnsi="Times New Roman" w:cs="Times New Roman"/>
        </w:rPr>
        <w:t xml:space="preserve"> cluster. This step verifies that the Kubernetes environment is ready for application deployment.</w:t>
      </w:r>
    </w:p>
    <w:p w14:paraId="483CA49A">
      <w:pPr>
        <w:keepNext w:val="0"/>
        <w:keepLines w:val="0"/>
        <w:widowControl/>
        <w:suppressLineNumbers w:val="0"/>
        <w:rPr>
          <w:rFonts w:hint="default" w:ascii="Times New Roman" w:hAnsi="Times New Roman" w:cs="Times New Roman"/>
        </w:rPr>
      </w:pPr>
    </w:p>
    <w:p w14:paraId="2B3E9BA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Application Deployment</w:t>
      </w:r>
    </w:p>
    <w:p w14:paraId="50B4EB2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the cluster was running, a sample application named </w:t>
      </w:r>
      <w:r>
        <w:rPr>
          <w:rStyle w:val="8"/>
          <w:rFonts w:hint="default" w:ascii="Times New Roman" w:hAnsi="Times New Roman" w:cs="Times New Roman"/>
        </w:rPr>
        <w:t>kubernetes-bootcamp</w:t>
      </w:r>
      <w:r>
        <w:rPr>
          <w:rFonts w:hint="default" w:ascii="Times New Roman" w:hAnsi="Times New Roman" w:cs="Times New Roman"/>
        </w:rPr>
        <w:t xml:space="preserve"> was deployed using a Kubernetes Deployment object. The Deployment ensures that the desired number of application replicas is maintained automatically.</w:t>
      </w:r>
    </w:p>
    <w:p w14:paraId="187D4835">
      <w:pPr>
        <w:pStyle w:val="5"/>
        <w:keepNext w:val="0"/>
        <w:keepLines w:val="0"/>
        <w:widowControl/>
        <w:suppressLineNumbers w:val="0"/>
      </w:pPr>
      <w:r>
        <w:drawing>
          <wp:inline distT="0" distB="0" distL="114300" distR="114300">
            <wp:extent cx="5271770" cy="337185"/>
            <wp:effectExtent l="0" t="0" r="11430" b="571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9"/>
                    <a:stretch>
                      <a:fillRect/>
                    </a:stretch>
                  </pic:blipFill>
                  <pic:spPr>
                    <a:xfrm>
                      <a:off x="0" y="0"/>
                      <a:ext cx="5271770" cy="337185"/>
                    </a:xfrm>
                    <a:prstGeom prst="rect">
                      <a:avLst/>
                    </a:prstGeom>
                    <a:noFill/>
                    <a:ln>
                      <a:noFill/>
                    </a:ln>
                  </pic:spPr>
                </pic:pic>
              </a:graphicData>
            </a:graphic>
          </wp:inline>
        </w:drawing>
      </w:r>
    </w:p>
    <w:p w14:paraId="4502D972">
      <w:pPr>
        <w:pStyle w:val="5"/>
        <w:keepNext w:val="0"/>
        <w:keepLines w:val="0"/>
        <w:widowControl/>
        <w:suppressLineNumbers w:val="0"/>
        <w:rPr>
          <w:rFonts w:hint="default"/>
        </w:rPr>
      </w:pPr>
      <w:r>
        <w:drawing>
          <wp:inline distT="0" distB="0" distL="114300" distR="114300">
            <wp:extent cx="5269865" cy="1090295"/>
            <wp:effectExtent l="0" t="0" r="635" b="190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10"/>
                    <a:stretch>
                      <a:fillRect/>
                    </a:stretch>
                  </pic:blipFill>
                  <pic:spPr>
                    <a:xfrm>
                      <a:off x="0" y="0"/>
                      <a:ext cx="5269865" cy="1090295"/>
                    </a:xfrm>
                    <a:prstGeom prst="rect">
                      <a:avLst/>
                    </a:prstGeom>
                    <a:noFill/>
                    <a:ln>
                      <a:noFill/>
                    </a:ln>
                  </pic:spPr>
                </pic:pic>
              </a:graphicData>
            </a:graphic>
          </wp:inline>
        </w:drawing>
      </w:r>
    </w:p>
    <w:p w14:paraId="0CA05CB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deployment status was verified with </w:t>
      </w:r>
      <w:r>
        <w:rPr>
          <w:rStyle w:val="11"/>
          <w:rFonts w:hint="default" w:ascii="Times New Roman" w:hAnsi="Times New Roman" w:cs="Times New Roman"/>
        </w:rPr>
        <w:t>kubectl get deployments</w:t>
      </w:r>
      <w:r>
        <w:rPr>
          <w:rFonts w:hint="default" w:ascii="Times New Roman" w:hAnsi="Times New Roman" w:cs="Times New Roman"/>
        </w:rPr>
        <w:t>, which showed that one replica was running and available. This confirms that Kubernetes successfully scheduled and started the application Pod.</w:t>
      </w:r>
    </w:p>
    <w:p w14:paraId="23848C14">
      <w:pPr>
        <w:keepNext w:val="0"/>
        <w:keepLines w:val="0"/>
        <w:widowControl/>
        <w:suppressLineNumbers w:val="0"/>
        <w:rPr>
          <w:rFonts w:hint="default" w:ascii="Times New Roman" w:hAnsi="Times New Roman" w:cs="Times New Roman"/>
        </w:rPr>
      </w:pPr>
    </w:p>
    <w:p w14:paraId="3B0B6DE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Exploring Kubernetes Resources</w:t>
      </w:r>
    </w:p>
    <w:p w14:paraId="2F5AC77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Kubernetes manages workloads, the running Pods were examined using:</w:t>
      </w:r>
    </w:p>
    <w:p w14:paraId="12CE82D5">
      <w:pPr>
        <w:keepNext w:val="0"/>
        <w:keepLines w:val="0"/>
        <w:widowControl/>
        <w:suppressLineNumbers w:val="0"/>
        <w:bidi w:val="0"/>
        <w:jc w:val="left"/>
      </w:pPr>
      <w:r>
        <w:drawing>
          <wp:inline distT="0" distB="0" distL="114300" distR="114300">
            <wp:extent cx="5273675" cy="1211580"/>
            <wp:effectExtent l="0" t="0" r="9525" b="762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1"/>
                    <a:stretch>
                      <a:fillRect/>
                    </a:stretch>
                  </pic:blipFill>
                  <pic:spPr>
                    <a:xfrm>
                      <a:off x="0" y="0"/>
                      <a:ext cx="5273675" cy="1211580"/>
                    </a:xfrm>
                    <a:prstGeom prst="rect">
                      <a:avLst/>
                    </a:prstGeom>
                    <a:noFill/>
                    <a:ln>
                      <a:noFill/>
                    </a:ln>
                  </pic:spPr>
                </pic:pic>
              </a:graphicData>
            </a:graphic>
          </wp:inline>
        </w:drawing>
      </w:r>
    </w:p>
    <w:p w14:paraId="597836B5">
      <w:pPr>
        <w:keepNext w:val="0"/>
        <w:keepLines w:val="0"/>
        <w:widowControl/>
        <w:suppressLineNumbers w:val="0"/>
        <w:bidi w:val="0"/>
        <w:jc w:val="left"/>
        <w:rPr>
          <w:rFonts w:hint="default"/>
        </w:rPr>
      </w:pPr>
      <w:r>
        <w:drawing>
          <wp:inline distT="0" distB="0" distL="114300" distR="114300">
            <wp:extent cx="5266690" cy="601345"/>
            <wp:effectExtent l="0" t="0" r="3810" b="8255"/>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12"/>
                    <a:stretch>
                      <a:fillRect/>
                    </a:stretch>
                  </pic:blipFill>
                  <pic:spPr>
                    <a:xfrm>
                      <a:off x="0" y="0"/>
                      <a:ext cx="5266690" cy="601345"/>
                    </a:xfrm>
                    <a:prstGeom prst="rect">
                      <a:avLst/>
                    </a:prstGeom>
                    <a:noFill/>
                    <a:ln>
                      <a:noFill/>
                    </a:ln>
                  </pic:spPr>
                </pic:pic>
              </a:graphicData>
            </a:graphic>
          </wp:inline>
        </w:drawing>
      </w:r>
    </w:p>
    <w:p w14:paraId="5186EEE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output displayed a Pod in the </w:t>
      </w:r>
      <w:r>
        <w:rPr>
          <w:rStyle w:val="11"/>
          <w:rFonts w:hint="default" w:ascii="Times New Roman" w:hAnsi="Times New Roman" w:cs="Times New Roman"/>
        </w:rPr>
        <w:t>Running</w:t>
      </w:r>
      <w:r>
        <w:rPr>
          <w:rFonts w:hint="default" w:ascii="Times New Roman" w:hAnsi="Times New Roman" w:cs="Times New Roman"/>
        </w:rPr>
        <w:t xml:space="preserve"> state, indicating that the application container was executing correctly. Further inspection was performed using </w:t>
      </w:r>
      <w:r>
        <w:rPr>
          <w:rStyle w:val="11"/>
          <w:rFonts w:hint="default" w:ascii="Times New Roman" w:hAnsi="Times New Roman" w:cs="Times New Roman"/>
        </w:rPr>
        <w:t>kubectl logs</w:t>
      </w:r>
      <w:r>
        <w:rPr>
          <w:rFonts w:hint="default" w:ascii="Times New Roman" w:hAnsi="Times New Roman" w:cs="Times New Roman"/>
        </w:rPr>
        <w:t>, which displayed application startup messages. This step demonstrates how Kubernetes allows administrators to monitor and debug applications using built-in logging and inspection tools.</w:t>
      </w:r>
    </w:p>
    <w:p w14:paraId="3D8272F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A36554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Exposing the Application</w:t>
      </w:r>
    </w:p>
    <w:p w14:paraId="760816D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default, Kubernetes applications are not accessible outside the cluster. To allow external access, the application was exposed using a </w:t>
      </w:r>
      <w:r>
        <w:rPr>
          <w:rStyle w:val="8"/>
          <w:rFonts w:hint="default" w:ascii="Times New Roman" w:hAnsi="Times New Roman" w:cs="Times New Roman"/>
        </w:rPr>
        <w:t>NodePort</w:t>
      </w:r>
      <w:r>
        <w:rPr>
          <w:rFonts w:hint="default" w:ascii="Times New Roman" w:hAnsi="Times New Roman" w:cs="Times New Roman"/>
        </w:rPr>
        <w:t xml:space="preserve"> Service:</w:t>
      </w:r>
    </w:p>
    <w:p w14:paraId="2BC9E4EB">
      <w:pPr>
        <w:pStyle w:val="5"/>
        <w:keepNext w:val="0"/>
        <w:keepLines w:val="0"/>
        <w:widowControl/>
        <w:suppressLineNumbers w:val="0"/>
      </w:pPr>
      <w:r>
        <w:drawing>
          <wp:inline distT="0" distB="0" distL="114300" distR="114300">
            <wp:extent cx="5266690" cy="303530"/>
            <wp:effectExtent l="0" t="0" r="3810" b="127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3"/>
                    <a:stretch>
                      <a:fillRect/>
                    </a:stretch>
                  </pic:blipFill>
                  <pic:spPr>
                    <a:xfrm>
                      <a:off x="0" y="0"/>
                      <a:ext cx="5266690" cy="303530"/>
                    </a:xfrm>
                    <a:prstGeom prst="rect">
                      <a:avLst/>
                    </a:prstGeom>
                    <a:noFill/>
                    <a:ln>
                      <a:noFill/>
                    </a:ln>
                  </pic:spPr>
                </pic:pic>
              </a:graphicData>
            </a:graphic>
          </wp:inline>
        </w:drawing>
      </w:r>
    </w:p>
    <w:p w14:paraId="3BF9CC3D">
      <w:pPr>
        <w:pStyle w:val="5"/>
        <w:keepNext w:val="0"/>
        <w:keepLines w:val="0"/>
        <w:widowControl/>
        <w:suppressLineNumbers w:val="0"/>
        <w:rPr>
          <w:rFonts w:hint="default" w:ascii="Times New Roman" w:hAnsi="Times New Roman" w:cs="Times New Roman"/>
        </w:rPr>
      </w:pPr>
      <w:r>
        <w:drawing>
          <wp:inline distT="0" distB="0" distL="114300" distR="114300">
            <wp:extent cx="5260340" cy="311785"/>
            <wp:effectExtent l="0" t="0" r="10160" b="5715"/>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4"/>
                    <a:stretch>
                      <a:fillRect/>
                    </a:stretch>
                  </pic:blipFill>
                  <pic:spPr>
                    <a:xfrm>
                      <a:off x="0" y="0"/>
                      <a:ext cx="5260340" cy="311785"/>
                    </a:xfrm>
                    <a:prstGeom prst="rect">
                      <a:avLst/>
                    </a:prstGeom>
                    <a:noFill/>
                    <a:ln>
                      <a:noFill/>
                    </a:ln>
                  </pic:spPr>
                </pic:pic>
              </a:graphicData>
            </a:graphic>
          </wp:inline>
        </w:drawing>
      </w:r>
      <w:r>
        <w:rPr>
          <w:rFonts w:hint="default" w:ascii="Times New Roman" w:hAnsi="Times New Roman" w:cs="Times New Roman"/>
        </w:rPr>
        <w:t xml:space="preserve">The Service configuration was verified with </w:t>
      </w:r>
      <w:r>
        <w:rPr>
          <w:rStyle w:val="11"/>
          <w:rFonts w:hint="default" w:ascii="Times New Roman" w:hAnsi="Times New Roman" w:cs="Times New Roman"/>
        </w:rPr>
        <w:t>kubectl get services</w:t>
      </w:r>
      <w:r>
        <w:rPr>
          <w:rFonts w:hint="default" w:ascii="Times New Roman" w:hAnsi="Times New Roman" w:cs="Times New Roman"/>
        </w:rPr>
        <w:t>, showing a NodePort assigned by Kubernetes. The application was then accessed using the Minikube service command, which provided a local URL for browser access. This step illustrates how Kubernetes Services enable networking and load balancing for Pods.</w:t>
      </w:r>
    </w:p>
    <w:p w14:paraId="33BD304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AB319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Scaling the Application</w:t>
      </w:r>
    </w:p>
    <w:p w14:paraId="79BF8F2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To demonstrate Kubernetes’ ability to handle increased load, the application was scaled horizontally by increasing the number of replicas:</w:t>
      </w:r>
    </w:p>
    <w:p w14:paraId="4E3728E1">
      <w:pPr>
        <w:pStyle w:val="5"/>
        <w:keepNext w:val="0"/>
        <w:keepLines w:val="0"/>
        <w:widowControl/>
        <w:suppressLineNumbers w:val="0"/>
      </w:pPr>
      <w:r>
        <w:drawing>
          <wp:inline distT="0" distB="0" distL="114300" distR="114300">
            <wp:extent cx="5273040" cy="462280"/>
            <wp:effectExtent l="0" t="0" r="10160" b="762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15"/>
                    <a:stretch>
                      <a:fillRect/>
                    </a:stretch>
                  </pic:blipFill>
                  <pic:spPr>
                    <a:xfrm>
                      <a:off x="0" y="0"/>
                      <a:ext cx="5273040" cy="462280"/>
                    </a:xfrm>
                    <a:prstGeom prst="rect">
                      <a:avLst/>
                    </a:prstGeom>
                    <a:noFill/>
                    <a:ln>
                      <a:noFill/>
                    </a:ln>
                  </pic:spPr>
                </pic:pic>
              </a:graphicData>
            </a:graphic>
          </wp:inline>
        </w:drawing>
      </w:r>
    </w:p>
    <w:p w14:paraId="001E130E">
      <w:pPr>
        <w:pStyle w:val="5"/>
        <w:keepNext w:val="0"/>
        <w:keepLines w:val="0"/>
        <w:widowControl/>
        <w:suppressLineNumbers w:val="0"/>
        <w:rPr>
          <w:rFonts w:hint="default" w:ascii="Times New Roman" w:hAnsi="Times New Roman" w:cs="Times New Roman"/>
        </w:rPr>
      </w:pPr>
      <w:r>
        <w:drawing>
          <wp:inline distT="0" distB="0" distL="114300" distR="114300">
            <wp:extent cx="5259070" cy="758825"/>
            <wp:effectExtent l="0" t="0" r="11430" b="317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16"/>
                    <a:stretch>
                      <a:fillRect/>
                    </a:stretch>
                  </pic:blipFill>
                  <pic:spPr>
                    <a:xfrm>
                      <a:off x="0" y="0"/>
                      <a:ext cx="5259070" cy="758825"/>
                    </a:xfrm>
                    <a:prstGeom prst="rect">
                      <a:avLst/>
                    </a:prstGeom>
                    <a:noFill/>
                    <a:ln>
                      <a:noFill/>
                    </a:ln>
                  </pic:spPr>
                </pic:pic>
              </a:graphicData>
            </a:graphic>
          </wp:inline>
        </w:drawing>
      </w:r>
      <w:r>
        <w:rPr>
          <w:rFonts w:hint="default" w:ascii="Times New Roman" w:hAnsi="Times New Roman" w:cs="Times New Roman"/>
        </w:rPr>
        <w:t xml:space="preserve">After scaling, </w:t>
      </w:r>
      <w:r>
        <w:rPr>
          <w:rStyle w:val="11"/>
          <w:rFonts w:hint="default" w:ascii="Times New Roman" w:hAnsi="Times New Roman" w:cs="Times New Roman"/>
        </w:rPr>
        <w:t>kubectl get pods</w:t>
      </w:r>
      <w:r>
        <w:rPr>
          <w:rFonts w:hint="default" w:ascii="Times New Roman" w:hAnsi="Times New Roman" w:cs="Times New Roman"/>
        </w:rPr>
        <w:t xml:space="preserve"> confirmed that three Pods were running simultaneously. Kubernetes automatically distributed traffic among these Pods, highlighting its built-in scalability and self-management features.</w:t>
      </w:r>
    </w:p>
    <w:p w14:paraId="71652307">
      <w:pPr>
        <w:keepNext w:val="0"/>
        <w:keepLines w:val="0"/>
        <w:widowControl/>
        <w:suppressLineNumbers w:val="0"/>
        <w:rPr>
          <w:rFonts w:hint="default" w:ascii="Times New Roman" w:hAnsi="Times New Roman" w:cs="Times New Roman"/>
        </w:rPr>
      </w:pPr>
    </w:p>
    <w:p w14:paraId="44689C8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Updating the Application</w:t>
      </w:r>
    </w:p>
    <w:p w14:paraId="0194178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 rolling update was performed to deploy a new version of the application image without causing downtime. The image version was updated using:</w:t>
      </w:r>
    </w:p>
    <w:p w14:paraId="686DD792">
      <w:pPr>
        <w:pStyle w:val="5"/>
        <w:keepNext w:val="0"/>
        <w:keepLines w:val="0"/>
        <w:widowControl/>
        <w:suppressLineNumbers w:val="0"/>
      </w:pPr>
      <w:r>
        <w:drawing>
          <wp:inline distT="0" distB="0" distL="114300" distR="114300">
            <wp:extent cx="5266690" cy="457835"/>
            <wp:effectExtent l="0" t="0" r="3810" b="1206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17"/>
                    <a:stretch>
                      <a:fillRect/>
                    </a:stretch>
                  </pic:blipFill>
                  <pic:spPr>
                    <a:xfrm>
                      <a:off x="0" y="0"/>
                      <a:ext cx="5266690" cy="457835"/>
                    </a:xfrm>
                    <a:prstGeom prst="rect">
                      <a:avLst/>
                    </a:prstGeom>
                    <a:noFill/>
                    <a:ln>
                      <a:noFill/>
                    </a:ln>
                  </pic:spPr>
                </pic:pic>
              </a:graphicData>
            </a:graphic>
          </wp:inline>
        </w:drawing>
      </w:r>
    </w:p>
    <w:p w14:paraId="58B023E1">
      <w:pPr>
        <w:pStyle w:val="5"/>
        <w:keepNext w:val="0"/>
        <w:keepLines w:val="0"/>
        <w:widowControl/>
        <w:suppressLineNumbers w:val="0"/>
        <w:rPr>
          <w:rFonts w:hint="default" w:ascii="Times New Roman" w:hAnsi="Times New Roman" w:cs="Times New Roman"/>
        </w:rPr>
      </w:pPr>
      <w:r>
        <w:drawing>
          <wp:inline distT="0" distB="0" distL="114300" distR="114300">
            <wp:extent cx="5267960" cy="587375"/>
            <wp:effectExtent l="0" t="0" r="2540" b="952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18"/>
                    <a:stretch>
                      <a:fillRect/>
                    </a:stretch>
                  </pic:blipFill>
                  <pic:spPr>
                    <a:xfrm>
                      <a:off x="0" y="0"/>
                      <a:ext cx="5267960" cy="587375"/>
                    </a:xfrm>
                    <a:prstGeom prst="rect">
                      <a:avLst/>
                    </a:prstGeom>
                    <a:noFill/>
                    <a:ln>
                      <a:noFill/>
                    </a:ln>
                  </pic:spPr>
                </pic:pic>
              </a:graphicData>
            </a:graphic>
          </wp:inline>
        </w:drawing>
      </w:r>
      <w:r>
        <w:rPr>
          <w:rFonts w:hint="default" w:ascii="Times New Roman" w:hAnsi="Times New Roman" w:cs="Times New Roman"/>
        </w:rPr>
        <w:t xml:space="preserve">The rollout status was monitored using </w:t>
      </w:r>
      <w:r>
        <w:rPr>
          <w:rStyle w:val="11"/>
          <w:rFonts w:hint="default" w:ascii="Times New Roman" w:hAnsi="Times New Roman" w:cs="Times New Roman"/>
        </w:rPr>
        <w:t>kubectl rollout status</w:t>
      </w:r>
      <w:r>
        <w:rPr>
          <w:rFonts w:hint="default" w:ascii="Times New Roman" w:hAnsi="Times New Roman" w:cs="Times New Roman"/>
        </w:rPr>
        <w:t>, which confirmed a successful update. Kubernetes gradually replaced old Pods with new ones, demonstrating the rolling update mechanism used in production environments.</w:t>
      </w:r>
    </w:p>
    <w:p w14:paraId="558A3680">
      <w:pPr>
        <w:keepNext w:val="0"/>
        <w:keepLines w:val="0"/>
        <w:widowControl/>
        <w:suppressLineNumbers w:val="0"/>
        <w:rPr>
          <w:rFonts w:hint="default" w:ascii="Times New Roman" w:hAnsi="Times New Roman" w:cs="Times New Roman"/>
        </w:rPr>
      </w:pPr>
    </w:p>
    <w:p w14:paraId="1B5E801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Error Observation and Troubleshooting (Docker Driver)</w:t>
      </w:r>
    </w:p>
    <w:p w14:paraId="22EFA54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the experiment, a Docker-related error (</w:t>
      </w:r>
      <w:r>
        <w:rPr>
          <w:rStyle w:val="11"/>
          <w:rFonts w:hint="default" w:ascii="Times New Roman" w:hAnsi="Times New Roman" w:cs="Times New Roman"/>
        </w:rPr>
        <w:t>PROVIDER_DOCKER_VERSION_EXIT_1</w:t>
      </w:r>
      <w:r>
        <w:rPr>
          <w:rFonts w:hint="default" w:ascii="Times New Roman" w:hAnsi="Times New Roman" w:cs="Times New Roman"/>
        </w:rPr>
        <w:t>) was also documented. This error occurred when Minikube could not connect to the Docker Desktop Linux engine. The issue was identified as Docker Desktop not running or the Linux backend being unavailable.</w:t>
      </w:r>
    </w:p>
    <w:p w14:paraId="4B8EFF6F">
      <w:pPr>
        <w:pStyle w:val="5"/>
        <w:keepNext w:val="0"/>
        <w:keepLines w:val="0"/>
        <w:widowControl/>
        <w:suppressLineNumbers w:val="0"/>
        <w:rPr>
          <w:rFonts w:hint="default" w:ascii="Times New Roman" w:hAnsi="Times New Roman" w:cs="Times New Roman"/>
        </w:rPr>
      </w:pPr>
      <w:r>
        <w:drawing>
          <wp:inline distT="0" distB="0" distL="114300" distR="114300">
            <wp:extent cx="5261610" cy="420370"/>
            <wp:effectExtent l="0" t="0" r="8890" b="1143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19"/>
                    <a:stretch>
                      <a:fillRect/>
                    </a:stretch>
                  </pic:blipFill>
                  <pic:spPr>
                    <a:xfrm>
                      <a:off x="0" y="0"/>
                      <a:ext cx="5261610" cy="420370"/>
                    </a:xfrm>
                    <a:prstGeom prst="rect">
                      <a:avLst/>
                    </a:prstGeom>
                    <a:noFill/>
                    <a:ln>
                      <a:noFill/>
                    </a:ln>
                  </pic:spPr>
                </pic:pic>
              </a:graphicData>
            </a:graphic>
          </wp:inline>
        </w:drawing>
      </w:r>
    </w:p>
    <w:p w14:paraId="186BEE3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error message and resolution steps were captured as part of the lab to demonstrate troubleshooting skills and understanding of Minikube’s dependency on container runtimes.</w:t>
      </w:r>
    </w:p>
    <w:p w14:paraId="21A5EC4E">
      <w:pPr>
        <w:keepNext w:val="0"/>
        <w:keepLines w:val="0"/>
        <w:widowControl/>
        <w:suppressLineNumbers w:val="0"/>
        <w:rPr>
          <w:rFonts w:hint="default" w:ascii="Times New Roman" w:hAnsi="Times New Roman" w:cs="Times New Roman"/>
        </w:rPr>
      </w:pPr>
    </w:p>
    <w:p w14:paraId="789F3D8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GitHub Submission</w:t>
      </w:r>
    </w:p>
    <w:p w14:paraId="6F4F6DF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All lab materials, including the HTML-based terminal simulation, screenshots, and documentation, were committed to a GitHub repository. This ensures reproducibility, version control, and proper submission of lab work.</w:t>
      </w:r>
    </w:p>
    <w:p w14:paraId="0B55A1F6">
      <w:pPr>
        <w:pStyle w:val="5"/>
        <w:keepNext w:val="0"/>
        <w:keepLines w:val="0"/>
        <w:widowControl/>
        <w:suppressLineNumbers w:val="0"/>
        <w:ind w:left="0" w:firstLine="0"/>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Consolas" w:cs="Times New Roman"/>
          <w:i w:val="0"/>
          <w:iCs w:val="0"/>
          <w:caps w:val="0"/>
          <w:color w:val="E5E5E5"/>
          <w:spacing w:val="0"/>
          <w:sz w:val="24"/>
          <w:szCs w:val="24"/>
        </w:rPr>
        <w:t>I</w:t>
      </w:r>
      <w:r>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t>n this laboratory exercise, a complete Kubernetes application lifecycle was successfully demonstrated using Minikube on a Windows environment. Starting from cluster initialization, the lab covered application deployment, inspection of Kubernetes objects, service exposure, horizontal scaling, and rolling updates.</w:t>
      </w:r>
    </w:p>
    <w:p w14:paraId="73C650CE">
      <w:pPr>
        <w:pStyle w:val="5"/>
        <w:keepNext w:val="0"/>
        <w:keepLines w:val="0"/>
        <w:widowControl/>
        <w:suppressLineNumbers w:val="0"/>
        <w:ind w:left="0" w:firstLine="0"/>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t>Through hands-on interaction with </w:t>
      </w:r>
      <w:r>
        <w:rPr>
          <w:rStyle w:val="11"/>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t>kubectl</w:t>
      </w:r>
      <w:r>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t>, this lab reinforced core Kubernetes concepts such as Pods, Deployments, Services, and ReplicaSets. The Minikube environment provided a practical and accessible way to understand Kubernetes behavior without requiring a full production cluster.</w:t>
      </w:r>
    </w:p>
    <w:p w14:paraId="7E8A6F78">
      <w:pPr>
        <w:pStyle w:val="5"/>
        <w:keepNext w:val="0"/>
        <w:keepLines w:val="0"/>
        <w:widowControl/>
        <w:suppressLineNumbers w:val="0"/>
        <w:ind w:left="0" w:firstLine="0"/>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Consolas" w:cs="Times New Roman"/>
          <w:i w:val="0"/>
          <w:iCs w:val="0"/>
          <w:caps w:val="0"/>
          <w:color w:val="000000" w:themeColor="text1"/>
          <w:spacing w:val="0"/>
          <w:sz w:val="24"/>
          <w:szCs w:val="24"/>
          <w14:textFill>
            <w14:solidFill>
              <w14:schemeClr w14:val="tx1"/>
            </w14:solidFill>
          </w14:textFill>
        </w:rPr>
        <w:t>Overall, this lab provided essential operational experience that forms a strong foundation for further study of container orchestration and cloud native application deployment.</w:t>
      </w:r>
    </w:p>
    <w:p w14:paraId="65E47C40">
      <w:pPr>
        <w:keepNext w:val="0"/>
        <w:keepLines w:val="0"/>
        <w:widowControl/>
        <w:suppressLineNumbers w:val="0"/>
        <w:rPr>
          <w:rFonts w:hint="default" w:ascii="Times New Roman" w:hAnsi="Times New Roman" w:cs="Times New Roman"/>
        </w:rPr>
      </w:pPr>
    </w:p>
    <w:p w14:paraId="62B892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Conclusion</w:t>
      </w:r>
    </w:p>
    <w:p w14:paraId="6D4EE7D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lab successfully demonstrated the essential Kubernetes concepts using Minikube, including cluster setup, application deployment, resource inspection, service exposure, scaling, and rolling updates. The hands-on approach provided practical experience with </w:t>
      </w:r>
      <w:r>
        <w:rPr>
          <w:rStyle w:val="11"/>
          <w:rFonts w:hint="default" w:ascii="Times New Roman" w:hAnsi="Times New Roman" w:cs="Times New Roman"/>
        </w:rPr>
        <w:t>kubectl</w:t>
      </w:r>
      <w:r>
        <w:rPr>
          <w:rFonts w:hint="default" w:ascii="Times New Roman" w:hAnsi="Times New Roman" w:cs="Times New Roman"/>
        </w:rPr>
        <w:t xml:space="preserve"> commands and Kubernetes architecture.</w:t>
      </w:r>
    </w:p>
    <w:p w14:paraId="570A2C7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By completing this lab, a strong foundation was established for understanding container orchestration and preparing for more advanced Kubernetes use cases in real-world environments.</w:t>
      </w:r>
    </w:p>
    <w:p w14:paraId="37556762">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365799"/>
    <w:rsid w:val="0C365799"/>
    <w:rsid w:val="168E1ABB"/>
    <w:rsid w:val="2B2A78D0"/>
    <w:rsid w:val="38F0705D"/>
    <w:rsid w:val="4FEFCFC0"/>
    <w:rsid w:val="73EF2C76"/>
    <w:rsid w:val="7661ABE5"/>
    <w:rsid w:val="7DE77DD2"/>
    <w:rsid w:val="7FE748DB"/>
    <w:rsid w:val="B3D50ED4"/>
    <w:rsid w:val="BF3F23A3"/>
    <w:rsid w:val="D97483F7"/>
    <w:rsid w:val="E73F976E"/>
    <w:rsid w:val="FFDF7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716</Words>
  <Characters>4640</Characters>
  <Lines>0</Lines>
  <Paragraphs>0</Paragraphs>
  <TotalTime>0</TotalTime>
  <ScaleCrop>false</ScaleCrop>
  <LinksUpToDate>false</LinksUpToDate>
  <CharactersWithSpaces>5321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2025-10-21T13:33:00Z</dcterms:created>
  <dc:creator>WPS_1678683657</dc:creator>
  <cp:lastModifiedBy>spiderman</cp:lastModifiedBy>
  <dcterms:modified xsi:type="dcterms:W3CDTF">2026-02-07T01:42:40Z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33205DA4AECF4164829A0C2E2DD3CA47_13</vt:lpwstr>
  </property>
  <property fmtid="{D5CDD505-2E9C-101B-9397-08002B2CF9AE}" pid="4" name="KSOTemplateDocerSaveRecord">
    <vt:lpwstr>eyJoZGlkIjoiMjA2OGUyNDM0NTJmNGJjMDQ5YjEzNzIxMmI3MmE4YjkiLCJ1c2VySWQiOiI4OTIwOTU3MjAifQ==</vt:lpwstr>
  </property>
</Properties>
</file>