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The Government of Mauritius and the local private sector co-finance roughly 35% of the country’s total climate portfolio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matching international grants with domestic capital. Between 2026 and 2035, Mauritius's projected public domestic investment into climate initiatives stands at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$1.5 billion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(averaging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$120 million to $150 million annually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). The remaining 65% ($4.3 billion) must be mobilized via external international funding. [</w:t>
      </w:r>
      <w:hyperlink r:id="rId2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Normal"/>
        <w:bidi w:val="0"/>
        <w:spacing w:before="180" w:after="240"/>
        <w:ind w:hanging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This co-financing architecture is distributed across the major active international projects via distinct channels.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Breakdown of Co-Financing Contributions</w:t>
      </w:r>
    </w:p>
    <w:p>
      <w:pPr>
        <w:pStyle w:val="BodyText"/>
        <w:bidi w:val="0"/>
        <w:spacing w:before="360" w:after="180"/>
        <w:ind w:hanging="0" w:left="0" w:right="0"/>
        <w:jc w:val="left"/>
        <w:rPr/>
      </w:pPr>
      <w:r>
        <w:rPr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1. Low-Carbon Economy Project (GCF FP033) [</w:t>
      </w:r>
      <w:hyperlink r:id="rId5">
        <w:r>
          <w:rPr>
            <w:rStyle w:val="Hyperlink"/>
            <w:rFonts w:ascii="Google Sans;Arial;sans-serif" w:hAnsi="Google Sans;Arial;sans-serif"/>
            <w:b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 xml:space="preserve">, </w:t>
      </w:r>
      <w:hyperlink r:id="rId6">
        <w:r>
          <w:rPr>
            <w:rStyle w:val="Hyperlink"/>
            <w:rFonts w:ascii="Google Sans;Arial;sans-serif" w:hAnsi="Google Sans;Arial;sans-serif"/>
            <w:b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 xml:space="preserve">, </w:t>
      </w:r>
      <w:hyperlink r:id="rId7">
        <w:r>
          <w:rPr>
            <w:rStyle w:val="Hyperlink"/>
            <w:rFonts w:ascii="Google Sans;Arial;sans-serif" w:hAnsi="Google Sans;Arial;sans-serif"/>
            <w:b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180" w:after="240"/>
        <w:ind w:hanging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This is Mauritius's largest active international co-financed mitigation initiative.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International Grant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$28.2 million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from the </w:t>
      </w:r>
      <w:hyperlink r:id="rId8" w:tgtFrame="_blank">
        <w:r>
          <w:rPr>
            <w:rStyle w:val="Hyperlink"/>
            <w:rFonts w:ascii="Google Sans;Arial;sans-serif" w:hAnsi="Google Sans;Arial;sans-serif"/>
            <w:b/>
            <w:strike w:val="false"/>
            <w:dstrike w:val="false"/>
            <w:sz w:val="24"/>
            <w:u w:val="single"/>
            <w:effect w:val="none"/>
          </w:rPr>
          <w:t>Green Climate Fund (GCF)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Total Co-Financing Leveraged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$163.1 million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Mauritian Government &amp; Local Share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The Government directly contributed over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$3 million in cash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during early components, supplemented by significant in-kind institutional support from the Central Electricity Board (CEB) and the Mauritius Renewable Energy Agency (MARENA). The remaining bulk of co-financing is structured via a sovereign loan from the Agence Française de Développement (AFD) earmarked for upgrading grid substations to absorb renewable energy.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9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0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1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2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3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5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2. Ecosystem-Based Adaptation &amp; Marine Resilience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International Funding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$10 million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from the Adaptation Fund and UNDP.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4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5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National Co-Financing Mechanism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Funded out of the national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Climate and Sustainability Fund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which holds a baseline of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Rs 3.2 billion (~$70 million)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 This fund acts as a direct financial match to deploy land- and sea-based coral restoration nurseries.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6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In-Kind Budgetary Support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Monitored tracking under the </w:t>
      </w:r>
      <w:hyperlink r:id="rId17" w:tgtFrame="_blank">
        <w:r>
          <w:rPr>
            <w:rStyle w:val="Hyperlink"/>
            <w:rFonts w:ascii="Google Sans;Arial;sans-serif" w:hAnsi="Google Sans;Arial;sans-serif"/>
            <w:b/>
            <w:strike w:val="false"/>
            <w:dstrike w:val="false"/>
            <w:sz w:val="24"/>
            <w:u w:val="single"/>
            <w:effect w:val="none"/>
          </w:rPr>
          <w:t>GEF (Global Environment Facility)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projects includes quantified in-kind contributions across various ministries: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Ministry of Environment: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$240,000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National Land Transport Authority (NLTA):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$100,000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Central Electricity Board: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$100,000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8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360" w:after="180"/>
        <w:ind w:hanging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Primary Domestic Co-Financing Mechanisms</w:t>
      </w:r>
    </w:p>
    <w:p>
      <w:pPr>
        <w:pStyle w:val="BodyText"/>
        <w:bidi w:val="0"/>
        <w:spacing w:before="180" w:after="240"/>
        <w:ind w:hanging="0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Mauritius generates its matching funds through specific statutory and structural instruments to ensure long-term stability: [</w:t>
      </w:r>
      <w:hyperlink r:id="rId19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The Corporate Climate Responsibility (CCR) Levy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Companies in Mauritius are legally mandated to pay a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2% levy on profits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 This directly capitalizes the Climate and Sustainability Fund, providing the predictable cash flow required to meet international grant co-financing stipulations.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0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Green Budget Tagging (GBT)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To transparently satisfy the reporting standards of bodies like the GCF, Mauritius implements its </w:t>
      </w:r>
      <w:hyperlink r:id="rId21" w:tgtFrame="_blank">
        <w:r>
          <w:rPr>
            <w:rStyle w:val="Hyperlink"/>
            <w:rFonts w:ascii="Google Sans;Arial;sans-serif" w:hAnsi="Google Sans;Arial;sans-serif"/>
            <w:b/>
            <w:strike w:val="false"/>
            <w:dstrike w:val="false"/>
            <w:sz w:val="24"/>
            <w:u w:val="single"/>
            <w:effect w:val="none"/>
          </w:rPr>
          <w:t>Sustainable Finance Framework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. This guarantees that when a project is co-financed, only the country’s exact </w:t>
      </w:r>
      <w:r>
        <w:rPr>
          <w:rStyle w:val="Emphasis"/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pro-rata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share of expenditures is logged against national public budget bounds.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2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3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Direct Access Finance Shift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As part of its 2026 strategic fiscal play, the state is seeking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Direct Access Entity accreditation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with the GCF. This will allow local statutory boards to manage co-financing pools directly without handing over execution to UN intermediaries, lowering administrative friction.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24">
        <w:r>
          <w:rPr>
            <w:rStyle w:val="Hyperlink"/>
            <w:rFonts w:ascii="Google Sans;Arial;sans-serif" w:hAnsi="Google Sans;Arial;sans-serif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om.mu/media/speeches/how-mauritius-mobilising-climate-finance" TargetMode="External"/><Relationship Id="rId3" Type="http://schemas.openxmlformats.org/officeDocument/2006/relationships/hyperlink" Target="https://theconversation.com/climate-finance-for-mauritius-needs-good-management-report-finds-gaps-283591" TargetMode="External"/><Relationship Id="rId4" Type="http://schemas.openxmlformats.org/officeDocument/2006/relationships/hyperlink" Target="https://bizweek.mu/mauritius-strategic-play-for-direct-access-finance-via-green-climate-fund/opinion-editorial/" TargetMode="External"/><Relationship Id="rId5" Type="http://schemas.openxmlformats.org/officeDocument/2006/relationships/hyperlink" Target="https://climateprojectexplorer.org/documents/2018-annual-performance-report-for-fp033-accelerating-the-transformational-shift-to-a-low-carbon-economy-in-the-republic-of-mauritius_966a?cfn=finance+flow" TargetMode="External"/><Relationship Id="rId6" Type="http://schemas.openxmlformats.org/officeDocument/2006/relationships/hyperlink" Target="https://www.adaptation-undp.org/mauritius-accelerates-towards-low-carbon-economy-launch-us-191-million-project" TargetMode="External"/><Relationship Id="rId7" Type="http://schemas.openxmlformats.org/officeDocument/2006/relationships/hyperlink" Target="https://climateprojectexplorer.org/documents/interim-evaluation-report-for-fp033-accelerating-the-transformational-shift-to-a-low-carbon-economy-in-the-republic-of-mauritius_b672?cfn=just+transition" TargetMode="External"/><Relationship Id="rId8" Type="http://schemas.openxmlformats.org/officeDocument/2006/relationships/hyperlink" Target="https://www.greenclimate.fund/portfolio/projects/fp033" TargetMode="External"/><Relationship Id="rId9" Type="http://schemas.openxmlformats.org/officeDocument/2006/relationships/hyperlink" Target="https://climateprojectexplorer.org/documents/2018-annual-performance-report-for-fp033-accelerating-the-transformational-shift-to-a-low-carbon-economy-in-the-republic-of-mauritius_966a?cfn=finance+flow" TargetMode="External"/><Relationship Id="rId10" Type="http://schemas.openxmlformats.org/officeDocument/2006/relationships/hyperlink" Target="https://climateprojectexplorer.org/documents/2019-annual-performance-report-for-fp033-accelerating-the-transformational-shift-to-a-low-carbon-economy-in-the-republic-of-mauritius_2bf8?cfn=finance+flow" TargetMode="External"/><Relationship Id="rId11" Type="http://schemas.openxmlformats.org/officeDocument/2006/relationships/hyperlink" Target="https://climateprojectexplorer.org/documents/2021-annual-performance-report-for-fp033-accelerating-the-transformational-shift-to-a-low-carbon-economy-in-the-republic-of-mauritius_aa3c?cfn=finance+flow" TargetMode="External"/><Relationship Id="rId12" Type="http://schemas.openxmlformats.org/officeDocument/2006/relationships/hyperlink" Target="https://www.thegef.org/sites/default/files/documents/10260_Project_Document.pdf" TargetMode="External"/><Relationship Id="rId13" Type="http://schemas.openxmlformats.org/officeDocument/2006/relationships/hyperlink" Target="https://climateprojectexplorer.org/documents/2021-annual-performance-report-for-fp033-accelerating-the-transformational-shift-to-a-low-carbon-economy-in-the-republic-of-mauritius_aa3c?cfn=climate+finance" TargetMode="External"/><Relationship Id="rId14" Type="http://schemas.openxmlformats.org/officeDocument/2006/relationships/hyperlink" Target="https://theconversation.com/climate-finance-for-mauritius-needs-good-management-report-finds-gaps-283591" TargetMode="External"/><Relationship Id="rId15" Type="http://schemas.openxmlformats.org/officeDocument/2006/relationships/hyperlink" Target="https://www.adaptation-undp.org/protect-billion-dollar-tourism-industry-mauritius-and-seychelles-restore-their-coral-reefs-new-us10" TargetMode="External"/><Relationship Id="rId16" Type="http://schemas.openxmlformats.org/officeDocument/2006/relationships/hyperlink" Target="https://www.undp.org/sites/g/files/zskgke326/files/2024-07/2024-2025_budget_highlights_climate_change_biodiversity_pollution.pdf" TargetMode="External"/><Relationship Id="rId17" Type="http://schemas.openxmlformats.org/officeDocument/2006/relationships/hyperlink" Target="https://www.thegef.org/sites/default/files/documents/10260_Project_Document.pdf" TargetMode="External"/><Relationship Id="rId18" Type="http://schemas.openxmlformats.org/officeDocument/2006/relationships/hyperlink" Target="https://www.thegef.org/sites/default/files/documents/10260_Project_Document.pdf" TargetMode="External"/><Relationship Id="rId19" Type="http://schemas.openxmlformats.org/officeDocument/2006/relationships/hyperlink" Target="https://bramston.associates/hybrid-sovereign-fund-in-mauritius-a-strategic-bet-for-the-countrys-economic-future/" TargetMode="External"/><Relationship Id="rId20" Type="http://schemas.openxmlformats.org/officeDocument/2006/relationships/hyperlink" Target="https://www.undp.org/sites/g/files/zskgke326/files/2024-07/2024-2025_budget_highlights_climate_change_biodiversity_pollution.pdf" TargetMode="External"/><Relationship Id="rId21" Type="http://schemas.openxmlformats.org/officeDocument/2006/relationships/hyperlink" Target="https://mof.govmu.org/Documents/2023/Mauritius%20Sustainable%20Finance%20Framework%20.pdf" TargetMode="External"/><Relationship Id="rId22" Type="http://schemas.openxmlformats.org/officeDocument/2006/relationships/hyperlink" Target="https://mof.govmu.org/Documents/2023/Mauritius%20Sustainable%20Finance%20Framework%20.pdf" TargetMode="External"/><Relationship Id="rId23" Type="http://schemas.openxmlformats.org/officeDocument/2006/relationships/hyperlink" Target="https://www.emerald.com/ijlma/article/66/4/518/1226304/Green-banking-laws-and-regulations-in-Mauritius-a" TargetMode="External"/><Relationship Id="rId24" Type="http://schemas.openxmlformats.org/officeDocument/2006/relationships/hyperlink" Target="https://mauritiusranking.com/mauritius-strategic-play-for-direct-access-finance-via-green-climate-fund/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LibreOffice_project/3346a99e6b841765b75a9b29714a5b95c6761ce3</Application>
  <AppVersion>15.0000</AppVersion>
  <Pages>2</Pages>
  <Words>435</Words>
  <Characters>2681</Characters>
  <CharactersWithSpaces>3084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2026-07-19T10:38:22Z</dcterms:created>
  <dc:creator/>
  <dc:description/>
  <dc:language>en-ZA</dc:language>
  <cp:lastModifiedBy/>
  <dcterms:modified xsi:type="dcterms:W3CDTF">2026-07-19T10:38:52Z</dcterms:modified>
  <cp:revision>1</cp:revision>
  <dc:subject/>
  <dc:title/>
</cp:coreProperties>
</file>